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DA2" w:rsidRDefault="00610DA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19050" t="0" r="0" b="0"/>
            <wp:docPr id="1" name="obrázek 1" descr="http://www.spsautocb.cz/images/stories/loga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psautocb.cz/images/stories/loga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DA2" w:rsidRDefault="00610DA2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4950" w:type="pct"/>
        <w:jc w:val="center"/>
        <w:tblCellMar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610DA2" w:rsidRPr="001D4230" w:rsidTr="000C2AE1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10DA2" w:rsidRPr="001D4230" w:rsidRDefault="00610DA2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10DA2" w:rsidRPr="001D4230" w:rsidRDefault="00610DA2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610DA2" w:rsidRPr="001D4230" w:rsidTr="000C2AE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10DA2" w:rsidRPr="001D4230" w:rsidRDefault="00610DA2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10DA2" w:rsidRPr="001D4230" w:rsidRDefault="00610DA2" w:rsidP="000C2AE1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Ing.Jan</w:t>
            </w:r>
            <w:proofErr w:type="gramEnd"/>
            <w:r>
              <w:rPr>
                <w:rFonts w:ascii="Calibri" w:hAnsi="Calibri"/>
              </w:rPr>
              <w:t xml:space="preserve"> Štěpka</w:t>
            </w:r>
          </w:p>
        </w:tc>
      </w:tr>
      <w:tr w:rsidR="00610DA2" w:rsidRPr="001D4230" w:rsidTr="000C2AE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10DA2" w:rsidRPr="001D4230" w:rsidRDefault="00610DA2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10DA2" w:rsidRPr="00610DA2" w:rsidRDefault="00610DA2" w:rsidP="00610DA2">
            <w:pPr>
              <w:pStyle w:val="Luk2"/>
              <w:rPr>
                <w:rFonts w:asciiTheme="minorHAnsi" w:hAnsi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sz w:val="22"/>
                <w:szCs w:val="22"/>
              </w:rPr>
              <w:t>Leasing, faktoring, forfaiting</w:t>
            </w:r>
          </w:p>
        </w:tc>
      </w:tr>
      <w:tr w:rsidR="00610DA2" w:rsidRPr="001D4230" w:rsidTr="000C2AE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10DA2" w:rsidRPr="001D4230" w:rsidRDefault="00610DA2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10DA2" w:rsidRPr="001D4230" w:rsidRDefault="00610DA2" w:rsidP="000C2AE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Ekonomika </w:t>
            </w:r>
          </w:p>
        </w:tc>
      </w:tr>
      <w:tr w:rsidR="00610DA2" w:rsidRPr="001D4230" w:rsidTr="000C2AE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10DA2" w:rsidRPr="001D4230" w:rsidRDefault="00610DA2" w:rsidP="000C2AE1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10DA2" w:rsidRDefault="00610DA2" w:rsidP="000C2AE1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Nástavba, obor  </w:t>
            </w:r>
            <w:proofErr w:type="gramStart"/>
            <w:r>
              <w:rPr>
                <w:rFonts w:ascii="Calibri" w:hAnsi="Calibri"/>
                <w:bCs/>
              </w:rPr>
              <w:t>Podnikání  - 2.ročník</w:t>
            </w:r>
            <w:proofErr w:type="gramEnd"/>
            <w:r>
              <w:rPr>
                <w:rFonts w:ascii="Calibri" w:hAnsi="Calibri"/>
                <w:bCs/>
              </w:rPr>
              <w:t xml:space="preserve">,  </w:t>
            </w:r>
          </w:p>
          <w:p w:rsidR="00610DA2" w:rsidRPr="001D4230" w:rsidRDefault="00610DA2" w:rsidP="000C2AE1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SPŠ , obor Provoz a ekonomika  </w:t>
            </w:r>
            <w:proofErr w:type="gramStart"/>
            <w:r>
              <w:rPr>
                <w:rFonts w:ascii="Calibri" w:hAnsi="Calibri"/>
                <w:bCs/>
              </w:rPr>
              <w:t>dopravy  -  4.ročník</w:t>
            </w:r>
            <w:proofErr w:type="gramEnd"/>
          </w:p>
        </w:tc>
      </w:tr>
      <w:tr w:rsidR="00610DA2" w:rsidRPr="001D4230" w:rsidTr="000C2AE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10DA2" w:rsidRPr="001D4230" w:rsidRDefault="00610DA2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10DA2" w:rsidRPr="001D4230" w:rsidRDefault="00610DA2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610DA2" w:rsidRPr="001D4230" w:rsidTr="000C2AE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10DA2" w:rsidRPr="001D4230" w:rsidRDefault="00610DA2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10DA2" w:rsidRPr="001D4230" w:rsidRDefault="006C0072" w:rsidP="006C007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Říjen</w:t>
            </w:r>
            <w:r w:rsidR="00610DA2">
              <w:rPr>
                <w:rFonts w:ascii="Calibri" w:hAnsi="Calibri"/>
              </w:rPr>
              <w:t xml:space="preserve">  201</w:t>
            </w:r>
            <w:r>
              <w:rPr>
                <w:rFonts w:ascii="Calibri" w:hAnsi="Calibri"/>
              </w:rPr>
              <w:t>2</w:t>
            </w:r>
          </w:p>
        </w:tc>
      </w:tr>
      <w:tr w:rsidR="00610DA2" w:rsidRPr="001D4230" w:rsidTr="000C2AE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10DA2" w:rsidRPr="001D4230" w:rsidRDefault="00610DA2" w:rsidP="000C2AE1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10DA2" w:rsidRPr="00610DA2" w:rsidRDefault="00610DA2" w:rsidP="00610DA2">
            <w:r w:rsidRPr="00610DA2">
              <w:rPr>
                <w:rFonts w:cs="Times New Roman"/>
              </w:rPr>
              <w:t>materiál vysvětluje pojmy zvláštního druhu financování investic a financování pohledávek dodavatele</w:t>
            </w:r>
          </w:p>
        </w:tc>
      </w:tr>
    </w:tbl>
    <w:p w:rsidR="00610DA2" w:rsidRDefault="00610DA2" w:rsidP="00610DA2"/>
    <w:p w:rsidR="00610DA2" w:rsidRDefault="00610DA2">
      <w:pPr>
        <w:rPr>
          <w:rFonts w:ascii="Times New Roman" w:hAnsi="Times New Roman" w:cs="Times New Roman"/>
          <w:b/>
          <w:sz w:val="28"/>
          <w:szCs w:val="28"/>
        </w:rPr>
      </w:pPr>
    </w:p>
    <w:p w:rsidR="00787192" w:rsidRDefault="0078719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Leasing, faktoring, forfaiting</w:t>
      </w:r>
    </w:p>
    <w:p w:rsidR="00787192" w:rsidRDefault="007871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Leasing </w:t>
      </w:r>
      <w:r>
        <w:rPr>
          <w:rFonts w:ascii="Times New Roman" w:hAnsi="Times New Roman" w:cs="Times New Roman"/>
          <w:sz w:val="24"/>
          <w:szCs w:val="24"/>
        </w:rPr>
        <w:t>je pronájem investičního zařízení, předmětů dlouhodobé spotřeby a jiných předmětů uživateli za sjednané nájemné na určitou nebo neurčitou dobu</w:t>
      </w:r>
      <w:r w:rsidR="00DE114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Pronajímatel dává nájemci (uživateli) právo u</w:t>
      </w:r>
      <w:r w:rsidR="00DE1140">
        <w:rPr>
          <w:rFonts w:ascii="Times New Roman" w:hAnsi="Times New Roman" w:cs="Times New Roman"/>
          <w:sz w:val="24"/>
          <w:szCs w:val="24"/>
        </w:rPr>
        <w:t>ž</w:t>
      </w:r>
      <w:r>
        <w:rPr>
          <w:rFonts w:ascii="Times New Roman" w:hAnsi="Times New Roman" w:cs="Times New Roman"/>
          <w:sz w:val="24"/>
          <w:szCs w:val="24"/>
        </w:rPr>
        <w:t>ívat předmět náhradou za platbu stanovených splátek po sjednané časové období.</w:t>
      </w:r>
    </w:p>
    <w:p w:rsidR="00787192" w:rsidRDefault="007871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Leasing představuje určitý druh financování. Přitom mezi výrobce investičního nebo spotřebního zboží a subjekt, který tuto investici potřebuje, vstupuje specializovaná leasingová společnost.</w:t>
      </w:r>
    </w:p>
    <w:p w:rsidR="00787192" w:rsidRDefault="00787192">
      <w:pPr>
        <w:rPr>
          <w:rFonts w:ascii="Times New Roman" w:hAnsi="Times New Roman" w:cs="Times New Roman"/>
          <w:sz w:val="24"/>
          <w:szCs w:val="24"/>
        </w:rPr>
      </w:pPr>
      <w:r w:rsidRPr="00DE1140">
        <w:rPr>
          <w:rFonts w:ascii="Times New Roman" w:hAnsi="Times New Roman" w:cs="Times New Roman"/>
          <w:b/>
          <w:sz w:val="24"/>
          <w:szCs w:val="24"/>
        </w:rPr>
        <w:t>Rozlišujeme finanční leasing a operativní leasing</w:t>
      </w:r>
      <w:r>
        <w:rPr>
          <w:rFonts w:ascii="Times New Roman" w:hAnsi="Times New Roman" w:cs="Times New Roman"/>
          <w:sz w:val="24"/>
          <w:szCs w:val="24"/>
        </w:rPr>
        <w:t xml:space="preserve">. Finanční leasing lze definovat jako pronájem na stanovenou dobu s následujícím převodem vlastnických práv na nájemce při </w:t>
      </w:r>
      <w:r>
        <w:rPr>
          <w:rFonts w:ascii="Times New Roman" w:hAnsi="Times New Roman" w:cs="Times New Roman"/>
          <w:sz w:val="24"/>
          <w:szCs w:val="24"/>
        </w:rPr>
        <w:lastRenderedPageBreak/>
        <w:t>ukončení pronájmu. Při operativním leasingu pronajímatel předá leasingový předmět do užívání nájemci, nájemce platí pronajímateli dohodnuté nájemné a po ukončení nájmu vrací pronajatý předmět zpět pronajímateli.</w:t>
      </w:r>
    </w:p>
    <w:p w:rsidR="00787192" w:rsidRDefault="00787192">
      <w:pPr>
        <w:rPr>
          <w:rFonts w:ascii="Times New Roman" w:hAnsi="Times New Roman" w:cs="Times New Roman"/>
          <w:sz w:val="24"/>
          <w:szCs w:val="24"/>
        </w:rPr>
      </w:pPr>
      <w:r w:rsidRPr="00DE1140">
        <w:rPr>
          <w:rFonts w:ascii="Times New Roman" w:hAnsi="Times New Roman" w:cs="Times New Roman"/>
          <w:b/>
          <w:sz w:val="24"/>
          <w:szCs w:val="24"/>
        </w:rPr>
        <w:t>Faktoring</w:t>
      </w:r>
      <w:r>
        <w:rPr>
          <w:rFonts w:ascii="Times New Roman" w:hAnsi="Times New Roman" w:cs="Times New Roman"/>
          <w:sz w:val="24"/>
          <w:szCs w:val="24"/>
        </w:rPr>
        <w:t xml:space="preserve"> je financování krátkodobých pohledávek bankou nebo faktoringovou společností z iniciativy majitelů pohledávek (věřitelů) be</w:t>
      </w:r>
      <w:r w:rsidR="00DE1140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jejich zpětného posti</w:t>
      </w:r>
      <w:r w:rsidR="00DE1140">
        <w:rPr>
          <w:rFonts w:ascii="Times New Roman" w:hAnsi="Times New Roman" w:cs="Times New Roman"/>
          <w:sz w:val="24"/>
          <w:szCs w:val="24"/>
        </w:rPr>
        <w:t>hu při insolvenci dlu</w:t>
      </w:r>
      <w:r>
        <w:rPr>
          <w:rFonts w:ascii="Times New Roman" w:hAnsi="Times New Roman" w:cs="Times New Roman"/>
          <w:sz w:val="24"/>
          <w:szCs w:val="24"/>
        </w:rPr>
        <w:t>žníka. V rámci smlouvy s faktorigovou společností postupuje klient této společnosti pohledávky vznikající z dodávek zboží a služeb a ta je okažitě zálohuje (cca ve výši 60-80% z hodnoty faktury). Rozdíl do celkové hodnoty pohledávky se doúčtuje po příchodu platby od odběratele. Klient uhradí za tuto službu faktoringový poplatek a dále úroky z poskytnutých záloh. Banky provozují faktoring buď přímo samy, nebo se podílejí kapitálově na založení faktoringových společností, často zřizovaných jako dceřiné společnosti bank, které svou faktoringovou společnost financují úvěrem.</w:t>
      </w:r>
    </w:p>
    <w:p w:rsidR="000C424C" w:rsidRDefault="00787192">
      <w:pPr>
        <w:rPr>
          <w:rFonts w:ascii="Times New Roman" w:hAnsi="Times New Roman" w:cs="Times New Roman"/>
          <w:sz w:val="24"/>
          <w:szCs w:val="24"/>
        </w:rPr>
      </w:pPr>
      <w:r w:rsidRPr="00DE1140">
        <w:rPr>
          <w:rFonts w:ascii="Times New Roman" w:hAnsi="Times New Roman" w:cs="Times New Roman"/>
          <w:b/>
          <w:sz w:val="24"/>
          <w:szCs w:val="24"/>
        </w:rPr>
        <w:t>Forfaiting</w:t>
      </w:r>
      <w:r>
        <w:rPr>
          <w:rFonts w:ascii="Times New Roman" w:hAnsi="Times New Roman" w:cs="Times New Roman"/>
          <w:sz w:val="24"/>
          <w:szCs w:val="24"/>
        </w:rPr>
        <w:t xml:space="preserve"> znam</w:t>
      </w:r>
      <w:r w:rsidR="00DE1140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ná odkup střednědobých a dlouhodobých pohledávek tuzemskou nebo zahraniční bankou nebo speciální</w:t>
      </w:r>
      <w:r w:rsidR="00DE1140">
        <w:rPr>
          <w:rFonts w:ascii="Times New Roman" w:hAnsi="Times New Roman" w:cs="Times New Roman"/>
          <w:sz w:val="24"/>
          <w:szCs w:val="24"/>
        </w:rPr>
        <w:t xml:space="preserve"> ústavem, aniž by tento příjemc</w:t>
      </w:r>
      <w:r>
        <w:rPr>
          <w:rFonts w:ascii="Times New Roman" w:hAnsi="Times New Roman" w:cs="Times New Roman"/>
          <w:sz w:val="24"/>
          <w:szCs w:val="24"/>
        </w:rPr>
        <w:t xml:space="preserve">e pohledávky mohl uplatňovat vůči prodejci pohledávky </w:t>
      </w:r>
      <w:r w:rsidRPr="00DE1140">
        <w:rPr>
          <w:rFonts w:ascii="Times New Roman" w:hAnsi="Times New Roman" w:cs="Times New Roman"/>
          <w:b/>
          <w:sz w:val="24"/>
          <w:szCs w:val="24"/>
        </w:rPr>
        <w:t>regre</w:t>
      </w:r>
      <w:r w:rsidR="000C424C" w:rsidRPr="00DE1140">
        <w:rPr>
          <w:rFonts w:ascii="Times New Roman" w:hAnsi="Times New Roman" w:cs="Times New Roman"/>
          <w:b/>
          <w:sz w:val="24"/>
          <w:szCs w:val="24"/>
        </w:rPr>
        <w:t>s</w:t>
      </w:r>
      <w:r w:rsidR="00DE11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1140">
        <w:rPr>
          <w:rFonts w:ascii="Times New Roman" w:hAnsi="Times New Roman" w:cs="Times New Roman"/>
          <w:sz w:val="24"/>
          <w:szCs w:val="24"/>
        </w:rPr>
        <w:t>(postih)</w:t>
      </w:r>
      <w:r w:rsidR="000C424C" w:rsidRPr="00DE1140">
        <w:rPr>
          <w:rFonts w:ascii="Times New Roman" w:hAnsi="Times New Roman" w:cs="Times New Roman"/>
          <w:b/>
          <w:sz w:val="24"/>
          <w:szCs w:val="24"/>
        </w:rPr>
        <w:t>.</w:t>
      </w:r>
      <w:r w:rsidR="000C424C">
        <w:rPr>
          <w:rFonts w:ascii="Times New Roman" w:hAnsi="Times New Roman" w:cs="Times New Roman"/>
          <w:sz w:val="24"/>
          <w:szCs w:val="24"/>
        </w:rPr>
        <w:t xml:space="preserve"> Jde o odkup pohledávky zajištěné vhodnými úvěrovými nástroji. Forfaitingové obchody provádějí většinou banky, nebo konsorcia bank. Střednědobé a dlouhodobé pohledávky jsou vystaveny vyšším rizikům likvidity, </w:t>
      </w:r>
      <w:proofErr w:type="gramStart"/>
      <w:r w:rsidR="000C424C">
        <w:rPr>
          <w:rFonts w:ascii="Times New Roman" w:hAnsi="Times New Roman" w:cs="Times New Roman"/>
          <w:sz w:val="24"/>
          <w:szCs w:val="24"/>
        </w:rPr>
        <w:t>bonity,  kurzových</w:t>
      </w:r>
      <w:proofErr w:type="gramEnd"/>
      <w:r w:rsidR="000C424C">
        <w:rPr>
          <w:rFonts w:ascii="Times New Roman" w:hAnsi="Times New Roman" w:cs="Times New Roman"/>
          <w:sz w:val="24"/>
          <w:szCs w:val="24"/>
        </w:rPr>
        <w:t xml:space="preserve"> ztrát. Proto dodavatel, </w:t>
      </w:r>
      <w:r w:rsidR="00DE1140">
        <w:rPr>
          <w:rFonts w:ascii="Times New Roman" w:hAnsi="Times New Roman" w:cs="Times New Roman"/>
          <w:sz w:val="24"/>
          <w:szCs w:val="24"/>
        </w:rPr>
        <w:t>ze</w:t>
      </w:r>
      <w:r w:rsidR="000C424C">
        <w:rPr>
          <w:rFonts w:ascii="Times New Roman" w:hAnsi="Times New Roman" w:cs="Times New Roman"/>
          <w:sz w:val="24"/>
          <w:szCs w:val="24"/>
        </w:rPr>
        <w:t>j</w:t>
      </w:r>
      <w:r w:rsidR="00753E3F">
        <w:rPr>
          <w:rFonts w:ascii="Times New Roman" w:hAnsi="Times New Roman" w:cs="Times New Roman"/>
          <w:sz w:val="24"/>
          <w:szCs w:val="24"/>
        </w:rPr>
        <w:t>ména vývozce, je ochote</w:t>
      </w:r>
      <w:r w:rsidR="000C424C">
        <w:rPr>
          <w:rFonts w:ascii="Times New Roman" w:hAnsi="Times New Roman" w:cs="Times New Roman"/>
          <w:sz w:val="24"/>
          <w:szCs w:val="24"/>
        </w:rPr>
        <w:t>n prodat svou pohledávku bance nebo finanční společnosti, a to i za poměrně vysok</w:t>
      </w:r>
      <w:r w:rsidR="00753E3F">
        <w:rPr>
          <w:rFonts w:ascii="Times New Roman" w:hAnsi="Times New Roman" w:cs="Times New Roman"/>
          <w:sz w:val="24"/>
          <w:szCs w:val="24"/>
        </w:rPr>
        <w:t>é</w:t>
      </w:r>
      <w:r w:rsidR="000C424C">
        <w:rPr>
          <w:rFonts w:ascii="Times New Roman" w:hAnsi="Times New Roman" w:cs="Times New Roman"/>
          <w:sz w:val="24"/>
          <w:szCs w:val="24"/>
        </w:rPr>
        <w:t xml:space="preserve"> úročení zálohy a </w:t>
      </w:r>
      <w:r w:rsidR="00753E3F">
        <w:rPr>
          <w:rFonts w:ascii="Times New Roman" w:hAnsi="Times New Roman" w:cs="Times New Roman"/>
          <w:sz w:val="24"/>
          <w:szCs w:val="24"/>
        </w:rPr>
        <w:t xml:space="preserve">forfaitingový </w:t>
      </w:r>
      <w:r w:rsidR="000C424C">
        <w:rPr>
          <w:rFonts w:ascii="Times New Roman" w:hAnsi="Times New Roman" w:cs="Times New Roman"/>
          <w:sz w:val="24"/>
          <w:szCs w:val="24"/>
        </w:rPr>
        <w:t>poplatek.</w:t>
      </w:r>
    </w:p>
    <w:p w:rsidR="00EF1287" w:rsidRDefault="007871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1287" w:rsidRDefault="00EF1287" w:rsidP="00EF128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Otázky:</w:t>
      </w:r>
    </w:p>
    <w:p w:rsidR="00610DA2" w:rsidRDefault="00610DA2" w:rsidP="00EF1287">
      <w:pPr>
        <w:rPr>
          <w:rFonts w:ascii="Times New Roman" w:hAnsi="Times New Roman" w:cs="Times New Roman"/>
          <w:b/>
          <w:sz w:val="24"/>
          <w:szCs w:val="24"/>
        </w:rPr>
      </w:pPr>
    </w:p>
    <w:p w:rsidR="00EF1287" w:rsidRDefault="00EF1287" w:rsidP="00EF12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 Co je to leasing?</w:t>
      </w:r>
    </w:p>
    <w:p w:rsidR="00EF1287" w:rsidRDefault="00EF1287" w:rsidP="00EF12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Jaký je rozdíl mezi finančním a operativním leasingem?</w:t>
      </w:r>
    </w:p>
    <w:p w:rsidR="00753E3F" w:rsidRDefault="00EF1287" w:rsidP="00EF12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Co je faktoring a co forfaiting a čím se liší?</w:t>
      </w:r>
      <w:r w:rsidR="00753E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0DA2" w:rsidRDefault="00610DA2" w:rsidP="00EF1287">
      <w:pPr>
        <w:rPr>
          <w:rFonts w:ascii="Times New Roman" w:hAnsi="Times New Roman" w:cs="Times New Roman"/>
          <w:sz w:val="24"/>
          <w:szCs w:val="24"/>
        </w:rPr>
      </w:pPr>
    </w:p>
    <w:p w:rsidR="00610DA2" w:rsidRDefault="00610DA2" w:rsidP="00EF1287">
      <w:pPr>
        <w:rPr>
          <w:rFonts w:ascii="Times New Roman" w:hAnsi="Times New Roman" w:cs="Times New Roman"/>
          <w:sz w:val="24"/>
          <w:szCs w:val="24"/>
        </w:rPr>
      </w:pPr>
    </w:p>
    <w:p w:rsidR="00610DA2" w:rsidRDefault="00610DA2" w:rsidP="00EF128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Zdroje:</w:t>
      </w:r>
    </w:p>
    <w:p w:rsidR="00610DA2" w:rsidRPr="007178BA" w:rsidRDefault="00AC2D2B" w:rsidP="00610DA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72"/>
          <w:szCs w:val="72"/>
        </w:rPr>
        <w:t>.</w:t>
      </w:r>
      <w:r w:rsidR="00610D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0DA2" w:rsidRPr="00A036C7">
        <w:rPr>
          <w:rFonts w:ascii="Times New Roman" w:hAnsi="Times New Roman" w:cs="Times New Roman"/>
          <w:sz w:val="24"/>
          <w:szCs w:val="24"/>
        </w:rPr>
        <w:t xml:space="preserve">interní zdroje </w:t>
      </w:r>
      <w:r w:rsidR="00610DA2">
        <w:rPr>
          <w:rFonts w:ascii="Times New Roman" w:hAnsi="Times New Roman" w:cs="Times New Roman"/>
          <w:sz w:val="24"/>
          <w:szCs w:val="24"/>
        </w:rPr>
        <w:t>eB</w:t>
      </w:r>
      <w:r w:rsidR="00610DA2" w:rsidRPr="00A036C7">
        <w:rPr>
          <w:rFonts w:ascii="Times New Roman" w:hAnsi="Times New Roman" w:cs="Times New Roman"/>
          <w:sz w:val="24"/>
          <w:szCs w:val="24"/>
        </w:rPr>
        <w:t>anka, a.s. (autor neznám)</w:t>
      </w:r>
    </w:p>
    <w:p w:rsidR="00610DA2" w:rsidRPr="00610DA2" w:rsidRDefault="00610DA2" w:rsidP="00EF1287">
      <w:pPr>
        <w:rPr>
          <w:rFonts w:ascii="Times New Roman" w:hAnsi="Times New Roman" w:cs="Times New Roman"/>
          <w:b/>
          <w:sz w:val="24"/>
          <w:szCs w:val="24"/>
        </w:rPr>
      </w:pPr>
    </w:p>
    <w:sectPr w:rsidR="00610DA2" w:rsidRPr="00610DA2" w:rsidSect="00A365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787192"/>
    <w:rsid w:val="000C424C"/>
    <w:rsid w:val="001D4880"/>
    <w:rsid w:val="00610DA2"/>
    <w:rsid w:val="006C0072"/>
    <w:rsid w:val="00753E3F"/>
    <w:rsid w:val="00787192"/>
    <w:rsid w:val="008B646A"/>
    <w:rsid w:val="00A36571"/>
    <w:rsid w:val="00AC2D2B"/>
    <w:rsid w:val="00CA3440"/>
    <w:rsid w:val="00DE1140"/>
    <w:rsid w:val="00EF1287"/>
    <w:rsid w:val="00FB5B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6571"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10DA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0DA2"/>
    <w:rPr>
      <w:rFonts w:ascii="Tahoma" w:hAnsi="Tahoma" w:cs="Tahoma"/>
      <w:sz w:val="16"/>
      <w:szCs w:val="16"/>
    </w:rPr>
  </w:style>
  <w:style w:type="paragraph" w:customStyle="1" w:styleId="Luk2">
    <w:name w:val="Lukáš 2"/>
    <w:basedOn w:val="Nadpis2"/>
    <w:qFormat/>
    <w:rsid w:val="00610DA2"/>
    <w:pPr>
      <w:keepLines w:val="0"/>
      <w:spacing w:before="0" w:line="240" w:lineRule="auto"/>
    </w:pPr>
    <w:rPr>
      <w:rFonts w:ascii="Calibri" w:eastAsia="Times New Roman" w:hAnsi="Calibri" w:cs="Times New Roman"/>
      <w:iCs/>
      <w:color w:val="auto"/>
      <w:sz w:val="32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10D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416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Štěpka</dc:creator>
  <cp:lastModifiedBy>Štěpka</cp:lastModifiedBy>
  <cp:revision>8</cp:revision>
  <dcterms:created xsi:type="dcterms:W3CDTF">2013-02-06T11:44:00Z</dcterms:created>
  <dcterms:modified xsi:type="dcterms:W3CDTF">2013-04-03T19:04:00Z</dcterms:modified>
</cp:coreProperties>
</file>