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A12" w:rsidRDefault="00D84D70" w:rsidP="000C1A12">
      <w:pPr>
        <w:ind w:left="-426" w:right="-143"/>
        <w:jc w:val="center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5099050</wp:posOffset>
            </wp:positionH>
            <wp:positionV relativeFrom="paragraph">
              <wp:posOffset>226695</wp:posOffset>
            </wp:positionV>
            <wp:extent cx="1019175" cy="285750"/>
            <wp:effectExtent l="0" t="0" r="9525" b="0"/>
            <wp:wrapTight wrapText="bothSides">
              <wp:wrapPolygon edited="0">
                <wp:start x="0" y="0"/>
                <wp:lineTo x="0" y="20160"/>
                <wp:lineTo x="21398" y="20160"/>
                <wp:lineTo x="21398" y="0"/>
                <wp:lineTo x="0" y="0"/>
              </wp:wrapPolygon>
            </wp:wrapTight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>
            <wp:extent cx="5191125" cy="762000"/>
            <wp:effectExtent l="0" t="0" r="9525" b="0"/>
            <wp:docPr id="1" name="Picture 0" descr="MSMT_logolink_bez_vl_a_sloganu.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MSMT_logolink_bez_vl_a_sloganu.a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1A12" w:rsidRPr="00EC4D7E">
        <w:t xml:space="preserve">  </w:t>
      </w:r>
    </w:p>
    <w:p w:rsidR="000C1A12" w:rsidRPr="007F141D" w:rsidRDefault="000C1A12" w:rsidP="000C1A12">
      <w:pPr>
        <w:jc w:val="center"/>
        <w:rPr>
          <w:sz w:val="16"/>
        </w:rPr>
      </w:pPr>
    </w:p>
    <w:p w:rsidR="000C1A12" w:rsidRDefault="00D84D70" w:rsidP="000C1A12">
      <w:pPr>
        <w:jc w:val="center"/>
      </w:pPr>
      <w:r>
        <w:rPr>
          <w:noProof/>
        </w:rPr>
        <w:drawing>
          <wp:inline distT="0" distB="0" distL="0" distR="0">
            <wp:extent cx="2686050" cy="152400"/>
            <wp:effectExtent l="0" t="0" r="0" b="0"/>
            <wp:docPr id="2" name="obrázek 2" descr="MSMT_slog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SMT_sloga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D33" w:rsidRDefault="00F84D33"/>
    <w:p w:rsidR="00D84D70" w:rsidRDefault="00D84D70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642"/>
        <w:gridCol w:w="5905"/>
      </w:tblGrid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školy:</w:t>
            </w:r>
            <w:r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Střední škola sociální PERSPEKTIVA a Vyšší odborná škola, s.r.o.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Adresa:  </w:t>
            </w:r>
          </w:p>
        </w:tc>
        <w:tc>
          <w:tcPr>
            <w:tcW w:w="5905" w:type="dxa"/>
          </w:tcPr>
          <w:p w:rsidR="00D84D70" w:rsidRPr="00D84D70" w:rsidRDefault="00444BE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Mírová 218/6, Dubí III</w:t>
            </w:r>
            <w:r w:rsidR="00D84D70" w:rsidRPr="00D84D7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proofErr w:type="spellStart"/>
            <w:r w:rsidR="00D84D70" w:rsidRPr="00D84D70">
              <w:rPr>
                <w:rFonts w:asciiTheme="minorHAnsi" w:hAnsiTheme="minorHAnsi"/>
                <w:sz w:val="28"/>
                <w:szCs w:val="28"/>
              </w:rPr>
              <w:t>Pozorka</w:t>
            </w:r>
            <w:proofErr w:type="spellEnd"/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>Název projektu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Fonts w:asciiTheme="minorHAnsi" w:hAnsiTheme="minorHAnsi"/>
                <w:sz w:val="28"/>
                <w:szCs w:val="28"/>
              </w:rPr>
              <w:t>KLÍČE K POZNÁVÁNÍ</w:t>
            </w:r>
          </w:p>
        </w:tc>
      </w:tr>
      <w:tr w:rsidR="00D84D70" w:rsidRPr="00D84D70" w:rsidTr="00D84D70">
        <w:trPr>
          <w:jc w:val="center"/>
        </w:trPr>
        <w:tc>
          <w:tcPr>
            <w:tcW w:w="2642" w:type="dxa"/>
          </w:tcPr>
          <w:p w:rsidR="00D84D70" w:rsidRPr="00D84D70" w:rsidRDefault="00D84D70" w:rsidP="00D84D70">
            <w:pPr>
              <w:rPr>
                <w:rFonts w:asciiTheme="minorHAnsi" w:hAnsiTheme="minorHAnsi"/>
                <w:b/>
                <w:sz w:val="28"/>
                <w:szCs w:val="28"/>
              </w:rPr>
            </w:pPr>
            <w:r w:rsidRPr="00D84D70">
              <w:rPr>
                <w:rFonts w:asciiTheme="minorHAnsi" w:hAnsiTheme="minorHAnsi"/>
                <w:b/>
                <w:sz w:val="28"/>
                <w:szCs w:val="28"/>
              </w:rPr>
              <w:t xml:space="preserve">Registrační číslo projektu: </w:t>
            </w:r>
          </w:p>
        </w:tc>
        <w:tc>
          <w:tcPr>
            <w:tcW w:w="5905" w:type="dxa"/>
          </w:tcPr>
          <w:p w:rsidR="00D84D70" w:rsidRPr="00D84D70" w:rsidRDefault="00D84D70">
            <w:pPr>
              <w:rPr>
                <w:rFonts w:asciiTheme="minorHAnsi" w:hAnsiTheme="minorHAnsi"/>
                <w:sz w:val="28"/>
                <w:szCs w:val="28"/>
              </w:rPr>
            </w:pPr>
            <w:r w:rsidRPr="00D84D70">
              <w:rPr>
                <w:rStyle w:val="datalabel"/>
                <w:rFonts w:asciiTheme="minorHAnsi" w:hAnsiTheme="minorHAnsi"/>
                <w:sz w:val="28"/>
                <w:szCs w:val="28"/>
              </w:rPr>
              <w:t>CZ.1.07/1.5.00/34.0928</w:t>
            </w:r>
          </w:p>
        </w:tc>
      </w:tr>
      <w:tr w:rsidR="00293772" w:rsidRPr="00D84D70" w:rsidTr="00D84D70">
        <w:trPr>
          <w:jc w:val="center"/>
        </w:trPr>
        <w:tc>
          <w:tcPr>
            <w:tcW w:w="2642" w:type="dxa"/>
          </w:tcPr>
          <w:p w:rsidR="00293772" w:rsidRPr="00444BE0" w:rsidRDefault="00293772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Šablona: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 </w:t>
            </w:r>
          </w:p>
        </w:tc>
        <w:tc>
          <w:tcPr>
            <w:tcW w:w="5905" w:type="dxa"/>
          </w:tcPr>
          <w:p w:rsidR="00293772" w:rsidRPr="00444BE0" w:rsidRDefault="00293772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V/2 Inovace a zkvalitnění výuky směřující k rozvoji odborných kompetencí žáků středních škol</w:t>
            </w:r>
          </w:p>
        </w:tc>
      </w:tr>
      <w:tr w:rsidR="00293772" w:rsidRPr="00D84D70" w:rsidTr="00D84D70">
        <w:trPr>
          <w:jc w:val="center"/>
        </w:trPr>
        <w:tc>
          <w:tcPr>
            <w:tcW w:w="2642" w:type="dxa"/>
          </w:tcPr>
          <w:p w:rsidR="00293772" w:rsidRPr="00444BE0" w:rsidRDefault="00293772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Název a číslo materiálu: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293772" w:rsidRPr="000133AC" w:rsidRDefault="00293772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VY_52_INOVACE_</w:t>
            </w:r>
            <w:r w:rsidR="00A64203">
              <w:rPr>
                <w:rFonts w:asciiTheme="minorHAnsi" w:hAnsiTheme="minorHAnsi"/>
                <w:color w:val="FF0000"/>
                <w:sz w:val="28"/>
                <w:szCs w:val="28"/>
              </w:rPr>
              <w:t>4</w:t>
            </w:r>
            <w:bookmarkStart w:id="0" w:name="_GoBack"/>
            <w:bookmarkEnd w:id="0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.A_2/22</w:t>
            </w:r>
          </w:p>
          <w:p w:rsidR="00293772" w:rsidRPr="000133AC" w:rsidRDefault="00293772" w:rsidP="003221E8">
            <w:pPr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Téma sady: </w:t>
            </w:r>
            <w:r w:rsidRPr="000133AC">
              <w:rPr>
                <w:rFonts w:asciiTheme="minorHAnsi" w:eastAsiaTheme="minorHAnsi" w:hAnsiTheme="minorHAnsi" w:cstheme="minorBidi"/>
                <w:color w:val="FF0000"/>
                <w:kern w:val="0"/>
                <w:sz w:val="28"/>
                <w:szCs w:val="28"/>
                <w:lang w:eastAsia="en-US"/>
              </w:rPr>
              <w:t>Specifické potřeby jednotlivých klientů v sociálních službách</w:t>
            </w:r>
          </w:p>
          <w:p w:rsidR="00293772" w:rsidRPr="00444BE0" w:rsidRDefault="00293772" w:rsidP="00293772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0133AC">
              <w:rPr>
                <w:rFonts w:asciiTheme="minorHAnsi" w:hAnsiTheme="minorHAnsi"/>
                <w:color w:val="FF0000"/>
                <w:sz w:val="28"/>
                <w:szCs w:val="28"/>
              </w:rPr>
              <w:t>Název: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Specifika služeb a zařízení pro závislé</w:t>
            </w:r>
          </w:p>
        </w:tc>
      </w:tr>
      <w:tr w:rsidR="00293772" w:rsidRPr="00D84D70" w:rsidTr="00D84D70">
        <w:trPr>
          <w:jc w:val="center"/>
        </w:trPr>
        <w:tc>
          <w:tcPr>
            <w:tcW w:w="2642" w:type="dxa"/>
          </w:tcPr>
          <w:p w:rsidR="00293772" w:rsidRPr="00444BE0" w:rsidRDefault="00293772" w:rsidP="00D84D70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Vytvořeno: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5905" w:type="dxa"/>
          </w:tcPr>
          <w:p w:rsidR="00293772" w:rsidRPr="00444BE0" w:rsidRDefault="00293772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proofErr w:type="gramStart"/>
            <w:r>
              <w:rPr>
                <w:rFonts w:asciiTheme="minorHAnsi" w:hAnsiTheme="minorHAnsi"/>
                <w:color w:val="FF0000"/>
                <w:sz w:val="28"/>
                <w:szCs w:val="28"/>
              </w:rPr>
              <w:t>15.3.2013</w:t>
            </w:r>
            <w:proofErr w:type="gramEnd"/>
          </w:p>
        </w:tc>
      </w:tr>
      <w:tr w:rsidR="00293772" w:rsidRPr="00D84D70" w:rsidTr="00D84D70">
        <w:trPr>
          <w:jc w:val="center"/>
        </w:trPr>
        <w:tc>
          <w:tcPr>
            <w:tcW w:w="2642" w:type="dxa"/>
          </w:tcPr>
          <w:p w:rsidR="00293772" w:rsidRPr="00444BE0" w:rsidRDefault="00293772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Autor:</w:t>
            </w:r>
          </w:p>
        </w:tc>
        <w:tc>
          <w:tcPr>
            <w:tcW w:w="5905" w:type="dxa"/>
          </w:tcPr>
          <w:p w:rsidR="00293772" w:rsidRPr="00444BE0" w:rsidRDefault="00293772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 xml:space="preserve">Mgr. </w:t>
            </w:r>
            <w:r>
              <w:rPr>
                <w:rFonts w:asciiTheme="minorHAnsi" w:hAnsiTheme="minorHAnsi"/>
                <w:color w:val="FF0000"/>
                <w:sz w:val="28"/>
                <w:szCs w:val="28"/>
              </w:rPr>
              <w:t>Kateřina Svobodová</w:t>
            </w:r>
          </w:p>
        </w:tc>
      </w:tr>
      <w:tr w:rsidR="00293772" w:rsidRPr="00D84D70" w:rsidTr="00D84D70">
        <w:trPr>
          <w:jc w:val="center"/>
        </w:trPr>
        <w:tc>
          <w:tcPr>
            <w:tcW w:w="2642" w:type="dxa"/>
          </w:tcPr>
          <w:p w:rsidR="00293772" w:rsidRPr="00444BE0" w:rsidRDefault="00293772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Vyučovací předmět:</w:t>
            </w:r>
          </w:p>
        </w:tc>
        <w:tc>
          <w:tcPr>
            <w:tcW w:w="5905" w:type="dxa"/>
          </w:tcPr>
          <w:p w:rsidR="00293772" w:rsidRPr="00444BE0" w:rsidRDefault="00293772" w:rsidP="003221E8">
            <w:pPr>
              <w:rPr>
                <w:rFonts w:asciiTheme="minorHAnsi" w:hAnsiTheme="minorHAnsi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Sociální péče</w:t>
            </w:r>
          </w:p>
        </w:tc>
      </w:tr>
      <w:tr w:rsidR="00293772" w:rsidRPr="00D84D70" w:rsidTr="00D84D70">
        <w:trPr>
          <w:jc w:val="center"/>
        </w:trPr>
        <w:tc>
          <w:tcPr>
            <w:tcW w:w="2642" w:type="dxa"/>
          </w:tcPr>
          <w:p w:rsidR="00293772" w:rsidRPr="00444BE0" w:rsidRDefault="00293772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Ročník:</w:t>
            </w:r>
          </w:p>
        </w:tc>
        <w:tc>
          <w:tcPr>
            <w:tcW w:w="5905" w:type="dxa"/>
          </w:tcPr>
          <w:p w:rsidR="00293772" w:rsidRPr="00D84D70" w:rsidRDefault="00293772" w:rsidP="003221E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color w:val="FF0000"/>
                <w:sz w:val="28"/>
                <w:szCs w:val="28"/>
              </w:rPr>
              <w:t>IV</w:t>
            </w:r>
            <w:r w:rsidRPr="00444BE0">
              <w:rPr>
                <w:rFonts w:asciiTheme="minorHAnsi" w:hAnsiTheme="minorHAnsi"/>
                <w:color w:val="FF0000"/>
                <w:sz w:val="28"/>
                <w:szCs w:val="28"/>
              </w:rPr>
              <w:t>.</w:t>
            </w:r>
          </w:p>
        </w:tc>
      </w:tr>
      <w:tr w:rsidR="00293772" w:rsidRPr="00D84D70" w:rsidTr="00D84D70">
        <w:trPr>
          <w:jc w:val="center"/>
        </w:trPr>
        <w:tc>
          <w:tcPr>
            <w:tcW w:w="2642" w:type="dxa"/>
          </w:tcPr>
          <w:p w:rsidR="00293772" w:rsidRPr="00444BE0" w:rsidRDefault="00293772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Anotace:</w:t>
            </w:r>
          </w:p>
        </w:tc>
        <w:tc>
          <w:tcPr>
            <w:tcW w:w="5905" w:type="dxa"/>
          </w:tcPr>
          <w:p w:rsidR="00293772" w:rsidRPr="00D84D70" w:rsidRDefault="00293772" w:rsidP="00293772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Materiál je pracovní list, který obsahuje informace o jednotlivých typech zařízení a služeb pro závislé. Jako aktivizující prvek je na konci textu připravená tabulka, do které si mají žáci zaznamenat podstatné informace, které se v textu dozvěděli.</w:t>
            </w:r>
          </w:p>
        </w:tc>
      </w:tr>
      <w:tr w:rsidR="00293772" w:rsidRPr="00D84D70" w:rsidTr="00D84D70">
        <w:trPr>
          <w:jc w:val="center"/>
        </w:trPr>
        <w:tc>
          <w:tcPr>
            <w:tcW w:w="2642" w:type="dxa"/>
          </w:tcPr>
          <w:p w:rsidR="00293772" w:rsidRPr="00444BE0" w:rsidRDefault="00293772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Klíčová slova:</w:t>
            </w:r>
          </w:p>
        </w:tc>
        <w:tc>
          <w:tcPr>
            <w:tcW w:w="5905" w:type="dxa"/>
          </w:tcPr>
          <w:p w:rsidR="00293772" w:rsidRDefault="00293772" w:rsidP="003221E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Služby pro závislé, zařízení pro závislé, ambulantní léčba, psychiatrická léčebna, denní stacionář, terapeutická komunita</w:t>
            </w:r>
          </w:p>
          <w:p w:rsidR="00293772" w:rsidRPr="00D84D70" w:rsidRDefault="00293772" w:rsidP="003221E8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</w:tr>
      <w:tr w:rsidR="00293772" w:rsidRPr="00D84D70" w:rsidTr="00D84D70">
        <w:trPr>
          <w:jc w:val="center"/>
        </w:trPr>
        <w:tc>
          <w:tcPr>
            <w:tcW w:w="2642" w:type="dxa"/>
          </w:tcPr>
          <w:p w:rsidR="00293772" w:rsidRPr="00444BE0" w:rsidRDefault="00293772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Výsledky vzdělávání dle RVP:</w:t>
            </w:r>
          </w:p>
          <w:p w:rsidR="00293772" w:rsidRPr="00444BE0" w:rsidRDefault="00293772" w:rsidP="00FA77EF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</w:p>
        </w:tc>
        <w:tc>
          <w:tcPr>
            <w:tcW w:w="5905" w:type="dxa"/>
          </w:tcPr>
          <w:p w:rsidR="00293772" w:rsidRPr="00293772" w:rsidRDefault="00293772" w:rsidP="00293772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r w:rsidRPr="00293772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 xml:space="preserve">charakterizuje formy sociálních služeb </w:t>
            </w:r>
            <w:proofErr w:type="gramStart"/>
            <w:r w:rsidRPr="00293772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ve</w:t>
            </w:r>
            <w:proofErr w:type="gramEnd"/>
          </w:p>
          <w:p w:rsidR="00293772" w:rsidRPr="00293772" w:rsidRDefault="00293772" w:rsidP="00293772">
            <w:pPr>
              <w:widowControl/>
              <w:suppressAutoHyphens w:val="0"/>
              <w:overflowPunct/>
              <w:textAlignment w:val="auto"/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</w:pPr>
            <w:r w:rsidRPr="00293772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vztahu k sociální situaci a specifickým</w:t>
            </w:r>
          </w:p>
          <w:p w:rsidR="00293772" w:rsidRPr="00D84D70" w:rsidRDefault="00293772" w:rsidP="00293772">
            <w:pPr>
              <w:rPr>
                <w:rFonts w:asciiTheme="minorHAnsi" w:hAnsiTheme="minorHAnsi"/>
                <w:sz w:val="28"/>
                <w:szCs w:val="28"/>
              </w:rPr>
            </w:pPr>
            <w:r w:rsidRPr="00293772">
              <w:rPr>
                <w:rFonts w:asciiTheme="minorHAnsi" w:eastAsiaTheme="minorHAnsi" w:hAnsiTheme="minorHAnsi" w:cs="TimesNewRoman"/>
                <w:kern w:val="0"/>
                <w:sz w:val="28"/>
                <w:szCs w:val="28"/>
                <w:lang w:eastAsia="en-US"/>
              </w:rPr>
              <w:t>potřebám jednotlivých skupin klientů;</w:t>
            </w:r>
          </w:p>
        </w:tc>
      </w:tr>
      <w:tr w:rsidR="00293772" w:rsidRPr="00D84D70" w:rsidTr="00D84D70">
        <w:trPr>
          <w:jc w:val="center"/>
        </w:trPr>
        <w:tc>
          <w:tcPr>
            <w:tcW w:w="2642" w:type="dxa"/>
          </w:tcPr>
          <w:p w:rsidR="00293772" w:rsidRPr="00444BE0" w:rsidRDefault="00293772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Typ interakce:</w:t>
            </w:r>
          </w:p>
        </w:tc>
        <w:tc>
          <w:tcPr>
            <w:tcW w:w="5905" w:type="dxa"/>
          </w:tcPr>
          <w:p w:rsidR="00293772" w:rsidRPr="00D84D70" w:rsidRDefault="00293772" w:rsidP="003221E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aktivita</w:t>
            </w:r>
          </w:p>
        </w:tc>
      </w:tr>
      <w:tr w:rsidR="00293772" w:rsidRPr="00D84D70" w:rsidTr="00D84D70">
        <w:trPr>
          <w:jc w:val="center"/>
        </w:trPr>
        <w:tc>
          <w:tcPr>
            <w:tcW w:w="2642" w:type="dxa"/>
          </w:tcPr>
          <w:p w:rsidR="00293772" w:rsidRPr="00444BE0" w:rsidRDefault="00293772" w:rsidP="00A57959">
            <w:pPr>
              <w:rPr>
                <w:rFonts w:asciiTheme="minorHAnsi" w:hAnsiTheme="minorHAnsi"/>
                <w:b/>
                <w:color w:val="FF0000"/>
                <w:sz w:val="28"/>
                <w:szCs w:val="28"/>
              </w:rPr>
            </w:pPr>
            <w:r w:rsidRPr="00444BE0">
              <w:rPr>
                <w:rFonts w:asciiTheme="minorHAnsi" w:hAnsiTheme="minorHAnsi"/>
                <w:b/>
                <w:color w:val="FF0000"/>
                <w:sz w:val="28"/>
                <w:szCs w:val="28"/>
              </w:rPr>
              <w:t>Druh výukového zdroje:</w:t>
            </w:r>
          </w:p>
        </w:tc>
        <w:tc>
          <w:tcPr>
            <w:tcW w:w="5905" w:type="dxa"/>
          </w:tcPr>
          <w:p w:rsidR="00293772" w:rsidRPr="00D84D70" w:rsidRDefault="00293772" w:rsidP="003221E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Pracovní list</w:t>
            </w:r>
          </w:p>
        </w:tc>
      </w:tr>
    </w:tbl>
    <w:p w:rsidR="00E83490" w:rsidRDefault="00E83490"/>
    <w:p w:rsidR="006A70D7" w:rsidRDefault="006A70D7" w:rsidP="006A70D7">
      <w:pPr>
        <w:widowControl/>
        <w:suppressAutoHyphens w:val="0"/>
        <w:overflowPunct/>
        <w:textAlignment w:val="auto"/>
        <w:rPr>
          <w:rFonts w:ascii="PalatinoCE-Bold" w:hAnsi="PalatinoCE-Bold" w:cs="PalatinoCE-Bold"/>
          <w:b/>
          <w:bCs/>
          <w:kern w:val="0"/>
          <w:szCs w:val="24"/>
        </w:rPr>
      </w:pPr>
    </w:p>
    <w:p w:rsidR="00D1109C" w:rsidRPr="00D1109C" w:rsidRDefault="00D1109C" w:rsidP="00D1109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kern w:val="0"/>
          <w:szCs w:val="24"/>
        </w:rPr>
      </w:pPr>
      <w:r w:rsidRPr="00D1109C">
        <w:rPr>
          <w:b/>
          <w:bCs/>
          <w:color w:val="000000"/>
          <w:kern w:val="0"/>
          <w:szCs w:val="24"/>
        </w:rPr>
        <w:lastRenderedPageBreak/>
        <w:t xml:space="preserve">Ambulantní léčba </w:t>
      </w:r>
    </w:p>
    <w:p w:rsidR="00D1109C" w:rsidRPr="00D1109C" w:rsidRDefault="00D1109C" w:rsidP="00D1109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kern w:val="0"/>
          <w:szCs w:val="24"/>
        </w:rPr>
      </w:pPr>
      <w:r w:rsidRPr="00D1109C">
        <w:rPr>
          <w:color w:val="000000"/>
          <w:kern w:val="0"/>
          <w:szCs w:val="24"/>
        </w:rPr>
        <w:t xml:space="preserve">Jak vyplývá </w:t>
      </w:r>
      <w:proofErr w:type="gramStart"/>
      <w:r w:rsidRPr="00D1109C">
        <w:rPr>
          <w:color w:val="000000"/>
          <w:kern w:val="0"/>
          <w:szCs w:val="24"/>
        </w:rPr>
        <w:t>ze</w:t>
      </w:r>
      <w:proofErr w:type="gramEnd"/>
      <w:r w:rsidRPr="00D1109C">
        <w:rPr>
          <w:color w:val="000000"/>
          <w:kern w:val="0"/>
          <w:szCs w:val="24"/>
        </w:rPr>
        <w:t xml:space="preserve"> našeho schématu č. 1, jsou pro ambulantní léčbu vhodní klienti s lehčím stupněm závislosti, s minimem somatických a psychických komplikací, vysokou motivací a podporujícím sociálním zázemím. Případnou vyšší intenzitu odvykacích příznaků je možné zvládnout absolvováním ústavní detoxifikace. Vedle farmakoterapie se v ambulantní léčbě používá především individuální terapie (1x-5x týdně dle potřeby) a skupinová terapie (obvykle 1 x týdně). Za efektivní ambulantní program se pokládají 3 kontakty klienta s léčebným zařízením během týdne (např. jedna skupina a dva individuální rozhovory) po dobu 6 měsíců. V individuálních i skupinových kontaktech je důležité uplatnit i zdravotní edukaci a zabývat se prevencí relapsu. Abstinence se monitoruje testováním přítomnosti drog v moči. Práce s rodinou klienta (rodinná intervence, rodinná terapie, skupiny s rodinnými příslušníky) a sociální práce jsou v ambulantní léčbě přínosné až nezbytné stejně jako v dalších formách léčby. </w:t>
      </w:r>
    </w:p>
    <w:p w:rsidR="00D1109C" w:rsidRPr="00D1109C" w:rsidRDefault="00D1109C" w:rsidP="00D1109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kern w:val="0"/>
          <w:szCs w:val="24"/>
        </w:rPr>
      </w:pPr>
      <w:r w:rsidRPr="00D1109C">
        <w:rPr>
          <w:b/>
          <w:bCs/>
          <w:color w:val="000000"/>
          <w:kern w:val="0"/>
          <w:szCs w:val="24"/>
        </w:rPr>
        <w:t xml:space="preserve">Intenzivní ambulantní léčba, denní stacionáře </w:t>
      </w:r>
    </w:p>
    <w:p w:rsidR="00D1109C" w:rsidRPr="00D1109C" w:rsidRDefault="00D1109C" w:rsidP="00D1109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kern w:val="0"/>
          <w:szCs w:val="24"/>
        </w:rPr>
      </w:pPr>
      <w:r w:rsidRPr="00D1109C">
        <w:rPr>
          <w:color w:val="000000"/>
          <w:kern w:val="0"/>
          <w:szCs w:val="24"/>
        </w:rPr>
        <w:t xml:space="preserve">Za “intenzivní ambulantní léčbu” se pokládá strukturovaný program v rozsahu </w:t>
      </w:r>
      <w:smartTag w:uri="urn:schemas-microsoft-com:office:smarttags" w:element="metricconverter">
        <w:smartTagPr>
          <w:attr w:name="ProductID" w:val="20 a"/>
        </w:smartTagPr>
        <w:r w:rsidRPr="00D1109C">
          <w:rPr>
            <w:color w:val="000000"/>
            <w:kern w:val="0"/>
            <w:szCs w:val="24"/>
          </w:rPr>
          <w:t>20 a</w:t>
        </w:r>
      </w:smartTag>
      <w:r w:rsidRPr="00D1109C">
        <w:rPr>
          <w:color w:val="000000"/>
          <w:kern w:val="0"/>
          <w:szCs w:val="24"/>
        </w:rPr>
        <w:t xml:space="preserve"> více hodin týdně. Nejznámější formou jsou </w:t>
      </w:r>
      <w:r w:rsidRPr="00D1109C">
        <w:rPr>
          <w:i/>
          <w:iCs/>
          <w:color w:val="000000"/>
          <w:kern w:val="0"/>
          <w:szCs w:val="24"/>
        </w:rPr>
        <w:t xml:space="preserve">denní stacionáře, </w:t>
      </w:r>
      <w:r w:rsidRPr="00D1109C">
        <w:rPr>
          <w:color w:val="000000"/>
          <w:kern w:val="0"/>
          <w:szCs w:val="24"/>
        </w:rPr>
        <w:t xml:space="preserve">v nichž má strukturovaný program obvykle rozsah 40 hod. týdně (8 hod.  každý pracovní den) a trvá 3-4 měsíce. Kapacita je 10-15 klientů. Těžištěm denního programu jsou různé formy skupinových terapií, doplněné terapií individuální. Terapeutické aktivity jsou ve struktuře programu v rovnováze s aktivitami  rehabilitačními, edukačními a volnočasovými. Nezbytný je léčebný režim, monitorování abstinence (testy na přítomnost drog v organismu) práce s rodinou a sociální práce, efektivně se uplatňují principy terapeutické komunity. </w:t>
      </w:r>
    </w:p>
    <w:p w:rsidR="00D1109C" w:rsidRPr="00D1109C" w:rsidRDefault="00D1109C" w:rsidP="00D1109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kern w:val="0"/>
          <w:szCs w:val="24"/>
        </w:rPr>
      </w:pPr>
      <w:r w:rsidRPr="00D1109C">
        <w:rPr>
          <w:color w:val="000000"/>
          <w:kern w:val="0"/>
          <w:szCs w:val="24"/>
        </w:rPr>
        <w:t xml:space="preserve">Denní léčba může být přínosná pro středně těžké a komplikovanější stupně závislosti. Klade však velké nároky na klienty i personál. Obtíže plynoucí z toho, že klient při léčbě zůstává v kontaktu s původním prostředím, musí být vyváženy obsahem programu. Intenzivní terapeutická práce s klientem a jeho rodinou, plánování a monitorování času, ve kterém klient pobývá mimo denní centrum, postupy krizové intervence a strategie prevence relapsu jsou pro účinnost denní léčby nepostradatelné. </w:t>
      </w:r>
    </w:p>
    <w:p w:rsidR="00D1109C" w:rsidRPr="00D1109C" w:rsidRDefault="00D1109C" w:rsidP="00D1109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kern w:val="0"/>
          <w:szCs w:val="24"/>
        </w:rPr>
      </w:pPr>
      <w:r w:rsidRPr="00D1109C">
        <w:rPr>
          <w:color w:val="000000"/>
          <w:kern w:val="0"/>
          <w:szCs w:val="24"/>
        </w:rPr>
        <w:t xml:space="preserve">Náročnost denní léčby se pak vyplácí, protože klient se už během léčby učí strukturovat volný čas tak, aby se vyhnul rizikovým situacím, učí se tyto rizikové situace předem rozpoznávat a využívat přiměřených strategií, jak je zvládnout nebo jak se jim vyhnout. Vyhlídky na dosažení léčebného účinku se tím zlepšují. </w:t>
      </w:r>
    </w:p>
    <w:p w:rsidR="00D1109C" w:rsidRPr="00D1109C" w:rsidRDefault="00D1109C" w:rsidP="00D1109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kern w:val="0"/>
          <w:szCs w:val="24"/>
        </w:rPr>
      </w:pPr>
      <w:r w:rsidRPr="00D1109C">
        <w:rPr>
          <w:color w:val="000000"/>
          <w:kern w:val="0"/>
          <w:szCs w:val="24"/>
        </w:rPr>
        <w:t>Klienti s dlouhodobou a těžkou drogovou kariérou, značně nezralí, nemotivovaní či výrazně problémoví z hlediska psychopatologického a psychosociálního se obvykle v denní léčbě neudrží a neobejdou se bez léčby ústavní. U řady klientů se závažnějšími potížemi se však denní program účinně doplňuje s krátkodobou či střednědobou ústavní léčbou (může na ni navazovat, předcházet ji nebo obojí).</w:t>
      </w:r>
    </w:p>
    <w:p w:rsidR="00D1109C" w:rsidRPr="00D1109C" w:rsidRDefault="00D1109C" w:rsidP="00D1109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kern w:val="0"/>
          <w:szCs w:val="24"/>
        </w:rPr>
      </w:pPr>
      <w:r w:rsidRPr="00D1109C">
        <w:rPr>
          <w:b/>
          <w:bCs/>
          <w:color w:val="000000"/>
          <w:kern w:val="0"/>
          <w:szCs w:val="24"/>
        </w:rPr>
        <w:t xml:space="preserve">Ústavní detoxifikace </w:t>
      </w:r>
    </w:p>
    <w:p w:rsidR="00D1109C" w:rsidRPr="00D1109C" w:rsidRDefault="00D1109C" w:rsidP="00D1109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kern w:val="0"/>
          <w:szCs w:val="24"/>
        </w:rPr>
      </w:pPr>
      <w:r w:rsidRPr="00D1109C">
        <w:rPr>
          <w:color w:val="000000"/>
          <w:kern w:val="0"/>
          <w:szCs w:val="24"/>
        </w:rPr>
        <w:t xml:space="preserve">Detoxifikaci u klientů s nižším stupněm odvykacího syndromu lze pochopitelně provádět i ambulantně při dostatečně častém kontaktu s klientem a případně s využitím cílené farmakoterapie. Odborníci u nás však k tomu ve srovnání se zahraničím přistupují zřídka. Převládající formou detoxifikace v ČR je několikadenní pobyt (v rozmezí 5-10 dní) na uzavřené </w:t>
      </w:r>
      <w:r w:rsidRPr="00D1109C">
        <w:rPr>
          <w:i/>
          <w:iCs/>
          <w:color w:val="000000"/>
          <w:kern w:val="0"/>
          <w:szCs w:val="24"/>
        </w:rPr>
        <w:t xml:space="preserve">detoxifikační jednotce </w:t>
      </w:r>
      <w:r w:rsidRPr="00D1109C">
        <w:rPr>
          <w:color w:val="000000"/>
          <w:kern w:val="0"/>
          <w:szCs w:val="24"/>
        </w:rPr>
        <w:t xml:space="preserve">v nemocnici či psychiatrické léčebně. </w:t>
      </w:r>
    </w:p>
    <w:p w:rsidR="00D1109C" w:rsidRPr="00D1109C" w:rsidRDefault="00D1109C" w:rsidP="00D1109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kern w:val="0"/>
          <w:szCs w:val="24"/>
        </w:rPr>
      </w:pPr>
      <w:r w:rsidRPr="00D1109C">
        <w:rPr>
          <w:color w:val="000000"/>
          <w:kern w:val="0"/>
          <w:szCs w:val="24"/>
        </w:rPr>
        <w:lastRenderedPageBreak/>
        <w:t xml:space="preserve">Základní filosofií ústavní detoxifikace je izolace klienta od drogového prostředí a překonání odvykacího syndromu v podpůrné a motivující psychoterapeutické atmosféře. Ke zmírnění odvykacího syndromu se často aplikuje farmakoterapie. Do spektra metod na detoxifikační jednotce rovněž patří sociální a rodinné intervence (řešení aktuálních sociálních problémů či rodinných krizí). </w:t>
      </w:r>
    </w:p>
    <w:p w:rsidR="00D1109C" w:rsidRPr="00D1109C" w:rsidRDefault="00D1109C" w:rsidP="00D1109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kern w:val="0"/>
          <w:szCs w:val="24"/>
        </w:rPr>
      </w:pPr>
      <w:r w:rsidRPr="00D1109C">
        <w:rPr>
          <w:b/>
          <w:bCs/>
          <w:color w:val="000000"/>
          <w:kern w:val="0"/>
          <w:szCs w:val="24"/>
        </w:rPr>
        <w:t>Krátkodobá a střednědobá ústavní léčba</w:t>
      </w:r>
    </w:p>
    <w:p w:rsidR="00D1109C" w:rsidRPr="00D1109C" w:rsidRDefault="00D1109C" w:rsidP="00D1109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kern w:val="0"/>
          <w:szCs w:val="24"/>
        </w:rPr>
      </w:pPr>
      <w:r w:rsidRPr="00D1109C">
        <w:rPr>
          <w:color w:val="000000"/>
          <w:kern w:val="0"/>
          <w:szCs w:val="24"/>
        </w:rPr>
        <w:t>Krátkodobá (4-9 týdnů) a střednědobá (3-6 měsíců) ústavní léčba se provádí na specializovaných lůžkových odděleních nemocnic a psychiatrických léčeben. Jde o vysoce strukturované léčebné programy na principech terapeutické komunity a s náplní obdobnou jako v denní léčbě (skupinová a individuální terapie, rehabilitační, edukační a volnočasové aktivity, práce s rodinou a sociální práce). Dodržování léčebného režimu a zapojení klienta do léčby je často monitorováno pomocí bodovacího systému (kladné body za žádoucí chování, záporné za nežádoucí).</w:t>
      </w:r>
    </w:p>
    <w:p w:rsidR="00D1109C" w:rsidRPr="00D1109C" w:rsidRDefault="00D1109C" w:rsidP="00D1109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kern w:val="0"/>
          <w:szCs w:val="24"/>
        </w:rPr>
      </w:pPr>
      <w:r w:rsidRPr="00D1109C">
        <w:rPr>
          <w:b/>
          <w:bCs/>
          <w:color w:val="000000"/>
          <w:kern w:val="0"/>
          <w:szCs w:val="24"/>
        </w:rPr>
        <w:t>Rezidenční léčba v terapeutických komunitách</w:t>
      </w:r>
    </w:p>
    <w:p w:rsidR="00D1109C" w:rsidRPr="00D1109C" w:rsidRDefault="00D1109C" w:rsidP="00D1109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kern w:val="0"/>
          <w:szCs w:val="24"/>
        </w:rPr>
      </w:pPr>
      <w:r w:rsidRPr="00D1109C">
        <w:rPr>
          <w:color w:val="000000"/>
          <w:kern w:val="0"/>
          <w:szCs w:val="24"/>
        </w:rPr>
        <w:t xml:space="preserve">Pojem “terapeutická komunita” (léčebné společenství, dále zkratka TK) používáme ve dvojím smyslu: </w:t>
      </w:r>
    </w:p>
    <w:p w:rsidR="00D1109C" w:rsidRPr="00D1109C" w:rsidRDefault="00D1109C" w:rsidP="00D1109C">
      <w:pPr>
        <w:widowControl/>
        <w:numPr>
          <w:ilvl w:val="0"/>
          <w:numId w:val="22"/>
        </w:numPr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kern w:val="0"/>
          <w:szCs w:val="24"/>
        </w:rPr>
      </w:pPr>
      <w:r w:rsidRPr="00D1109C">
        <w:rPr>
          <w:b/>
          <w:bCs/>
          <w:i/>
          <w:iCs/>
          <w:color w:val="000000"/>
          <w:kern w:val="0"/>
          <w:szCs w:val="24"/>
        </w:rPr>
        <w:t>TK jako metoda,</w:t>
      </w:r>
      <w:r w:rsidRPr="00D1109C">
        <w:rPr>
          <w:i/>
          <w:iCs/>
          <w:color w:val="000000"/>
          <w:kern w:val="0"/>
          <w:szCs w:val="24"/>
        </w:rPr>
        <w:t xml:space="preserve"> </w:t>
      </w:r>
      <w:r w:rsidRPr="00D1109C">
        <w:rPr>
          <w:color w:val="000000"/>
          <w:kern w:val="0"/>
          <w:szCs w:val="24"/>
        </w:rPr>
        <w:t>používaná jednak v léčbě psychických poruch včetně závislostí, jednak ve výcviku budoucích odborníků – jde o způsob organizace účinných psychosociálních faktorů působících na růst a zrání člověka (viz rámeček 4). Jeho podstatou je trvalé prolínání a konfrontace mezi rozměrem každodenního života, rozměrem “terapie” či “změny” a rozměrem kolektivního nevědomí a archetypů. Tyto rozměry vstupují do hry všude tam, kde se lidé často, delší dobu a intenzivně setkávají.</w:t>
      </w:r>
    </w:p>
    <w:p w:rsidR="00D1109C" w:rsidRPr="00D1109C" w:rsidRDefault="00D1109C" w:rsidP="00D1109C">
      <w:pPr>
        <w:widowControl/>
        <w:numPr>
          <w:ilvl w:val="0"/>
          <w:numId w:val="22"/>
        </w:numPr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kern w:val="0"/>
          <w:szCs w:val="24"/>
        </w:rPr>
      </w:pPr>
      <w:proofErr w:type="gramStart"/>
      <w:r w:rsidRPr="00D1109C">
        <w:rPr>
          <w:b/>
          <w:bCs/>
          <w:i/>
          <w:iCs/>
          <w:color w:val="000000"/>
          <w:kern w:val="0"/>
          <w:szCs w:val="24"/>
        </w:rPr>
        <w:t>TK jako</w:t>
      </w:r>
      <w:proofErr w:type="gramEnd"/>
      <w:r w:rsidRPr="00D1109C">
        <w:rPr>
          <w:b/>
          <w:bCs/>
          <w:i/>
          <w:iCs/>
          <w:color w:val="000000"/>
          <w:kern w:val="0"/>
          <w:szCs w:val="24"/>
        </w:rPr>
        <w:t xml:space="preserve"> typ zařízení,</w:t>
      </w:r>
      <w:r w:rsidRPr="00D1109C">
        <w:rPr>
          <w:color w:val="000000"/>
          <w:kern w:val="0"/>
          <w:szCs w:val="24"/>
        </w:rPr>
        <w:t xml:space="preserve"> v němž tato metoda je základem a dominantním obsahem poskytované péče. I když principy a rámec </w:t>
      </w:r>
      <w:proofErr w:type="gramStart"/>
      <w:r w:rsidRPr="00D1109C">
        <w:rPr>
          <w:color w:val="000000"/>
          <w:kern w:val="0"/>
          <w:szCs w:val="24"/>
        </w:rPr>
        <w:t>TK</w:t>
      </w:r>
      <w:proofErr w:type="gramEnd"/>
      <w:r w:rsidRPr="00D1109C">
        <w:rPr>
          <w:color w:val="000000"/>
          <w:kern w:val="0"/>
          <w:szCs w:val="24"/>
        </w:rPr>
        <w:t xml:space="preserve"> se běžně </w:t>
      </w:r>
      <w:proofErr w:type="gramStart"/>
      <w:r w:rsidRPr="00D1109C">
        <w:rPr>
          <w:color w:val="000000"/>
          <w:kern w:val="0"/>
          <w:szCs w:val="24"/>
        </w:rPr>
        <w:t>používají</w:t>
      </w:r>
      <w:proofErr w:type="gramEnd"/>
      <w:r w:rsidRPr="00D1109C">
        <w:rPr>
          <w:color w:val="000000"/>
          <w:kern w:val="0"/>
          <w:szCs w:val="24"/>
        </w:rPr>
        <w:t xml:space="preserve"> v nemocnicích, léčebnách a denních stacionářích, klasická TK je samostatné zařízení na venkově a mimo zdravotnické areály, obvykle s kapacitou 15-20 klientů. </w:t>
      </w:r>
    </w:p>
    <w:p w:rsidR="00D1109C" w:rsidRPr="00D1109C" w:rsidRDefault="00D1109C" w:rsidP="00D1109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kern w:val="0"/>
          <w:szCs w:val="24"/>
        </w:rPr>
      </w:pPr>
      <w:r w:rsidRPr="00D1109C">
        <w:rPr>
          <w:color w:val="000000"/>
          <w:kern w:val="0"/>
          <w:szCs w:val="24"/>
        </w:rPr>
        <w:t>U rezidenční (pobytové) léčby můžeme odlišit střednědobé programy v délce 6-8 měsíců od dlouhodobých (1 rok a více). Jde opět o vysoce strukturované programy, v nichž jsou zastoupeny různé formy skupinové terapie, edukačních a volnočasových aktivit, významnou část však naplňuje práce na každodenním provozu zařízení (provoz kuchyně, úklid, údržba), na farmě apod. Pobyt klienta v </w:t>
      </w:r>
      <w:proofErr w:type="gramStart"/>
      <w:r w:rsidRPr="00D1109C">
        <w:rPr>
          <w:color w:val="000000"/>
          <w:kern w:val="0"/>
          <w:szCs w:val="24"/>
        </w:rPr>
        <w:t>TK</w:t>
      </w:r>
      <w:proofErr w:type="gramEnd"/>
      <w:r w:rsidRPr="00D1109C">
        <w:rPr>
          <w:color w:val="000000"/>
          <w:kern w:val="0"/>
          <w:szCs w:val="24"/>
        </w:rPr>
        <w:t xml:space="preserve"> se </w:t>
      </w:r>
      <w:proofErr w:type="gramStart"/>
      <w:r w:rsidRPr="00D1109C">
        <w:rPr>
          <w:color w:val="000000"/>
          <w:kern w:val="0"/>
          <w:szCs w:val="24"/>
        </w:rPr>
        <w:t>rozčleňuje</w:t>
      </w:r>
      <w:proofErr w:type="gramEnd"/>
      <w:r w:rsidRPr="00D1109C">
        <w:rPr>
          <w:color w:val="000000"/>
          <w:kern w:val="0"/>
          <w:szCs w:val="24"/>
        </w:rPr>
        <w:t xml:space="preserve"> do několika etap (“fáze” - obvykle tři) s různě odstupňovanými právy a povinnostmi. Přestup z jedné fáze do druhé stejně jako ukončení terapeutického pobytu doprovázejí typické rituály.</w:t>
      </w:r>
    </w:p>
    <w:p w:rsidR="00D1109C" w:rsidRPr="00D1109C" w:rsidRDefault="00D1109C" w:rsidP="00D1109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kern w:val="0"/>
          <w:szCs w:val="24"/>
        </w:rPr>
      </w:pPr>
      <w:r w:rsidRPr="00D1109C">
        <w:rPr>
          <w:color w:val="000000"/>
          <w:kern w:val="0"/>
          <w:szCs w:val="24"/>
        </w:rPr>
        <w:t xml:space="preserve">V posledních letech se v odborně vedených </w:t>
      </w:r>
      <w:proofErr w:type="gramStart"/>
      <w:r w:rsidRPr="00D1109C">
        <w:rPr>
          <w:color w:val="000000"/>
          <w:kern w:val="0"/>
          <w:szCs w:val="24"/>
        </w:rPr>
        <w:t>TK klade</w:t>
      </w:r>
      <w:proofErr w:type="gramEnd"/>
      <w:r w:rsidRPr="00D1109C">
        <w:rPr>
          <w:color w:val="000000"/>
          <w:kern w:val="0"/>
          <w:szCs w:val="24"/>
        </w:rPr>
        <w:t xml:space="preserve"> větší důraz i na souběžnou individuální terapii (aspoň podpůrnou a poradenskou) a na práci s rodinou klienta. Sociální práce je důležitá jednak pro úpravu často složitých problémů, které klient zanechal ve vnějším světě, jednak jako příprava pro návrat do něj. </w:t>
      </w:r>
    </w:p>
    <w:p w:rsidR="00D1109C" w:rsidRPr="00D1109C" w:rsidRDefault="00D1109C" w:rsidP="00D1109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kern w:val="0"/>
          <w:szCs w:val="24"/>
        </w:rPr>
      </w:pPr>
      <w:r w:rsidRPr="00D1109C">
        <w:rPr>
          <w:color w:val="000000"/>
          <w:kern w:val="0"/>
          <w:szCs w:val="24"/>
        </w:rPr>
        <w:t>Pro rezidenční léčbu jsou indikovaní především klienti s dlouhodobou a těžkou drogovou kariérou, značně nezralí, nemotivovaní či výrazně problémoví z hlediska psychosociálního (např. s rozpadlým sociálním zázemím, s  kriminální anamnézou, dlouhodobě nepracující atd.). Proces sociálního učení v </w:t>
      </w:r>
      <w:proofErr w:type="gramStart"/>
      <w:r w:rsidRPr="00D1109C">
        <w:rPr>
          <w:color w:val="000000"/>
          <w:kern w:val="0"/>
          <w:szCs w:val="24"/>
        </w:rPr>
        <w:t>TK</w:t>
      </w:r>
      <w:proofErr w:type="gramEnd"/>
      <w:r w:rsidRPr="00D1109C">
        <w:rPr>
          <w:color w:val="000000"/>
          <w:kern w:val="0"/>
          <w:szCs w:val="24"/>
        </w:rPr>
        <w:t xml:space="preserve"> jim </w:t>
      </w:r>
      <w:proofErr w:type="gramStart"/>
      <w:r w:rsidRPr="00D1109C">
        <w:rPr>
          <w:color w:val="000000"/>
          <w:kern w:val="0"/>
          <w:szCs w:val="24"/>
        </w:rPr>
        <w:t>pomůže</w:t>
      </w:r>
      <w:proofErr w:type="gramEnd"/>
      <w:r w:rsidRPr="00D1109C">
        <w:rPr>
          <w:color w:val="000000"/>
          <w:kern w:val="0"/>
          <w:szCs w:val="24"/>
        </w:rPr>
        <w:t xml:space="preserve"> získat potřebné schopnosti a dovednosti k tomu, jak začít znovu žít nebo jak vůbec žít v normální společnosti. V TK se více zdůrazňuje aspekt sociálně-výchovný a sociálně-rehabilitační (resocializační) než aspekt zdravotnický, </w:t>
      </w:r>
      <w:proofErr w:type="spellStart"/>
      <w:proofErr w:type="gramStart"/>
      <w:r w:rsidRPr="00D1109C">
        <w:rPr>
          <w:color w:val="000000"/>
          <w:kern w:val="0"/>
          <w:szCs w:val="24"/>
        </w:rPr>
        <w:t>resp.psychiatrický</w:t>
      </w:r>
      <w:proofErr w:type="spellEnd"/>
      <w:proofErr w:type="gramEnd"/>
      <w:r w:rsidRPr="00D1109C">
        <w:rPr>
          <w:color w:val="000000"/>
          <w:kern w:val="0"/>
          <w:szCs w:val="24"/>
        </w:rPr>
        <w:t xml:space="preserve">. Klienti </w:t>
      </w:r>
      <w:r w:rsidRPr="00D1109C">
        <w:rPr>
          <w:color w:val="000000"/>
          <w:kern w:val="0"/>
          <w:szCs w:val="24"/>
        </w:rPr>
        <w:lastRenderedPageBreak/>
        <w:t xml:space="preserve">s vysokou mírou psychiatrických a somatických komplikací, vyžadujících trvalé lékařské vedení případu, </w:t>
      </w:r>
      <w:proofErr w:type="gramStart"/>
      <w:r w:rsidRPr="00D1109C">
        <w:rPr>
          <w:color w:val="000000"/>
          <w:kern w:val="0"/>
          <w:szCs w:val="24"/>
        </w:rPr>
        <w:t>nejsou proto</w:t>
      </w:r>
      <w:proofErr w:type="gramEnd"/>
      <w:r w:rsidRPr="00D1109C">
        <w:rPr>
          <w:color w:val="000000"/>
          <w:kern w:val="0"/>
          <w:szCs w:val="24"/>
        </w:rPr>
        <w:t xml:space="preserve"> pro léčbu v TK vhodní. </w:t>
      </w:r>
    </w:p>
    <w:p w:rsidR="00D1109C" w:rsidRPr="00293772" w:rsidRDefault="00D1109C" w:rsidP="00D1109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b/>
          <w:color w:val="000000"/>
          <w:kern w:val="0"/>
          <w:szCs w:val="24"/>
        </w:rPr>
      </w:pPr>
      <w:r w:rsidRPr="00293772">
        <w:rPr>
          <w:b/>
          <w:color w:val="000000"/>
          <w:kern w:val="0"/>
          <w:szCs w:val="24"/>
        </w:rPr>
        <w:t>Zadání pro žáky:</w:t>
      </w:r>
    </w:p>
    <w:p w:rsidR="00D1109C" w:rsidRPr="00293772" w:rsidRDefault="00D1109C" w:rsidP="00D1109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b/>
          <w:color w:val="000000"/>
          <w:kern w:val="0"/>
          <w:szCs w:val="24"/>
        </w:rPr>
      </w:pPr>
      <w:r w:rsidRPr="00293772">
        <w:rPr>
          <w:b/>
          <w:color w:val="000000"/>
          <w:kern w:val="0"/>
          <w:szCs w:val="24"/>
        </w:rPr>
        <w:t>Přečtěte si text o jednotlivých formách léčby drogově závislých a doplňte požadované informace o jednotlivých formách léčby do níže uvedené tabulky.</w:t>
      </w:r>
    </w:p>
    <w:p w:rsidR="00D1109C" w:rsidRPr="00D1109C" w:rsidRDefault="00D1109C" w:rsidP="00D1109C">
      <w:pPr>
        <w:widowControl/>
        <w:suppressAutoHyphens w:val="0"/>
        <w:overflowPunct/>
        <w:autoSpaceDE/>
        <w:autoSpaceDN/>
        <w:adjustRightInd/>
        <w:spacing w:before="100" w:beforeAutospacing="1" w:after="100" w:afterAutospacing="1"/>
        <w:jc w:val="both"/>
        <w:textAlignment w:val="auto"/>
        <w:rPr>
          <w:color w:val="000000"/>
          <w:kern w:val="0"/>
          <w:szCs w:val="24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551"/>
        <w:gridCol w:w="4395"/>
      </w:tblGrid>
      <w:tr w:rsidR="00D1109C" w:rsidRPr="00474E71" w:rsidTr="000F427F">
        <w:tc>
          <w:tcPr>
            <w:tcW w:w="2093" w:type="dxa"/>
          </w:tcPr>
          <w:p w:rsidR="00D1109C" w:rsidRPr="00474E71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  <w:r>
              <w:rPr>
                <w:b/>
                <w:kern w:val="0"/>
                <w:szCs w:val="24"/>
              </w:rPr>
              <w:t>Forma léčby</w:t>
            </w:r>
          </w:p>
        </w:tc>
        <w:tc>
          <w:tcPr>
            <w:tcW w:w="2551" w:type="dxa"/>
          </w:tcPr>
          <w:p w:rsidR="00D1109C" w:rsidRPr="00474E71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b/>
                <w:kern w:val="0"/>
                <w:szCs w:val="24"/>
              </w:rPr>
            </w:pPr>
            <w:r w:rsidRPr="00474E71">
              <w:rPr>
                <w:b/>
                <w:kern w:val="0"/>
                <w:szCs w:val="24"/>
              </w:rPr>
              <w:t xml:space="preserve">Cíle a specifika </w:t>
            </w:r>
            <w:r>
              <w:rPr>
                <w:b/>
                <w:kern w:val="0"/>
                <w:szCs w:val="24"/>
              </w:rPr>
              <w:t>formy léčby</w:t>
            </w:r>
          </w:p>
        </w:tc>
        <w:tc>
          <w:tcPr>
            <w:tcW w:w="4395" w:type="dxa"/>
          </w:tcPr>
          <w:p w:rsidR="00D1109C" w:rsidRPr="00474E71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b/>
                <w:kern w:val="0"/>
                <w:szCs w:val="24"/>
              </w:rPr>
            </w:pPr>
            <w:r w:rsidRPr="00474E71">
              <w:rPr>
                <w:b/>
                <w:kern w:val="0"/>
                <w:szCs w:val="24"/>
              </w:rPr>
              <w:t>Metody práce s klientem</w:t>
            </w:r>
          </w:p>
        </w:tc>
      </w:tr>
      <w:tr w:rsidR="00D1109C" w:rsidRPr="00474E71" w:rsidTr="000F427F">
        <w:tc>
          <w:tcPr>
            <w:tcW w:w="2093" w:type="dxa"/>
          </w:tcPr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  <w:r>
              <w:rPr>
                <w:b/>
                <w:kern w:val="0"/>
                <w:szCs w:val="24"/>
              </w:rPr>
              <w:t>Ambulantní léčba</w:t>
            </w: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Pr="00474E71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</w:tc>
        <w:tc>
          <w:tcPr>
            <w:tcW w:w="2551" w:type="dxa"/>
          </w:tcPr>
          <w:p w:rsidR="00D1109C" w:rsidRPr="00474E71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</w:tc>
        <w:tc>
          <w:tcPr>
            <w:tcW w:w="4395" w:type="dxa"/>
          </w:tcPr>
          <w:p w:rsidR="00D1109C" w:rsidRPr="00474E71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</w:tc>
      </w:tr>
      <w:tr w:rsidR="00D1109C" w:rsidRPr="00474E71" w:rsidTr="000F427F">
        <w:tc>
          <w:tcPr>
            <w:tcW w:w="2093" w:type="dxa"/>
          </w:tcPr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  <w:r>
              <w:rPr>
                <w:b/>
                <w:kern w:val="0"/>
                <w:szCs w:val="24"/>
              </w:rPr>
              <w:t>Denní stacionáře</w:t>
            </w: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Pr="00474E71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</w:tc>
        <w:tc>
          <w:tcPr>
            <w:tcW w:w="2551" w:type="dxa"/>
          </w:tcPr>
          <w:p w:rsidR="00D1109C" w:rsidRPr="00474E71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</w:tc>
        <w:tc>
          <w:tcPr>
            <w:tcW w:w="4395" w:type="dxa"/>
          </w:tcPr>
          <w:p w:rsidR="00D1109C" w:rsidRPr="00474E71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</w:tc>
      </w:tr>
      <w:tr w:rsidR="00D1109C" w:rsidRPr="00474E71" w:rsidTr="000F427F">
        <w:tc>
          <w:tcPr>
            <w:tcW w:w="2093" w:type="dxa"/>
          </w:tcPr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  <w:r>
              <w:rPr>
                <w:b/>
                <w:kern w:val="0"/>
                <w:szCs w:val="24"/>
              </w:rPr>
              <w:t>Krátkodobá a střednědobá ústavní péče</w:t>
            </w: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Pr="00474E71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</w:tc>
        <w:tc>
          <w:tcPr>
            <w:tcW w:w="2551" w:type="dxa"/>
          </w:tcPr>
          <w:p w:rsidR="00D1109C" w:rsidRPr="00474E71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</w:tc>
        <w:tc>
          <w:tcPr>
            <w:tcW w:w="4395" w:type="dxa"/>
          </w:tcPr>
          <w:p w:rsidR="00D1109C" w:rsidRPr="00474E71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</w:tc>
      </w:tr>
      <w:tr w:rsidR="00D1109C" w:rsidRPr="00474E71" w:rsidTr="000F427F">
        <w:tc>
          <w:tcPr>
            <w:tcW w:w="2093" w:type="dxa"/>
          </w:tcPr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  <w:r>
              <w:rPr>
                <w:b/>
                <w:kern w:val="0"/>
                <w:szCs w:val="24"/>
              </w:rPr>
              <w:t xml:space="preserve">Terapeutické </w:t>
            </w: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  <w:r>
              <w:rPr>
                <w:b/>
                <w:kern w:val="0"/>
                <w:szCs w:val="24"/>
              </w:rPr>
              <w:t>Komunity</w:t>
            </w: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  <w:p w:rsidR="00D1109C" w:rsidRPr="00474E71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jc w:val="both"/>
              <w:textAlignment w:val="auto"/>
              <w:rPr>
                <w:b/>
                <w:kern w:val="0"/>
                <w:szCs w:val="24"/>
              </w:rPr>
            </w:pPr>
          </w:p>
        </w:tc>
        <w:tc>
          <w:tcPr>
            <w:tcW w:w="2551" w:type="dxa"/>
          </w:tcPr>
          <w:p w:rsidR="00D1109C" w:rsidRPr="00474E71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</w:tc>
        <w:tc>
          <w:tcPr>
            <w:tcW w:w="4395" w:type="dxa"/>
          </w:tcPr>
          <w:p w:rsidR="00D1109C" w:rsidRPr="00474E71" w:rsidRDefault="00D1109C" w:rsidP="000F427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</w:p>
        </w:tc>
      </w:tr>
    </w:tbl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Pr="003823F4" w:rsidRDefault="003823F4" w:rsidP="003823F4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3823F4" w:rsidRDefault="003823F4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554158" w:rsidRPr="00554158" w:rsidRDefault="00554158" w:rsidP="00554158">
      <w:pPr>
        <w:widowControl/>
        <w:suppressAutoHyphens w:val="0"/>
        <w:overflowPunct/>
        <w:autoSpaceDE/>
        <w:autoSpaceDN/>
        <w:adjustRightInd/>
        <w:spacing w:after="200" w:line="276" w:lineRule="auto"/>
        <w:textAlignment w:val="auto"/>
        <w:rPr>
          <w:rFonts w:ascii="Calibri" w:eastAsia="Calibri" w:hAnsi="Calibri"/>
          <w:b/>
          <w:kern w:val="0"/>
          <w:sz w:val="22"/>
          <w:szCs w:val="22"/>
          <w:lang w:eastAsia="en-US"/>
        </w:rPr>
      </w:pPr>
    </w:p>
    <w:p w:rsidR="00554158" w:rsidRPr="00450458" w:rsidRDefault="00554158" w:rsidP="00450458">
      <w:pPr>
        <w:widowControl/>
        <w:suppressAutoHyphens w:val="0"/>
        <w:overflowPunct/>
        <w:autoSpaceDE/>
        <w:autoSpaceDN/>
        <w:adjustRightInd/>
        <w:ind w:left="360"/>
        <w:jc w:val="both"/>
        <w:textAlignment w:val="auto"/>
        <w:rPr>
          <w:rFonts w:ascii="Arial" w:hAnsi="Arial"/>
          <w:kern w:val="0"/>
          <w:szCs w:val="24"/>
        </w:rPr>
      </w:pPr>
    </w:p>
    <w:p w:rsidR="00450458" w:rsidRPr="00450458" w:rsidRDefault="00450458" w:rsidP="00450458">
      <w:pPr>
        <w:widowControl/>
        <w:suppressAutoHyphens w:val="0"/>
        <w:overflowPunct/>
        <w:autoSpaceDE/>
        <w:autoSpaceDN/>
        <w:adjustRightInd/>
        <w:jc w:val="both"/>
        <w:textAlignment w:val="auto"/>
        <w:rPr>
          <w:rFonts w:ascii="Arial" w:hAnsi="Arial"/>
          <w:b/>
          <w:kern w:val="0"/>
          <w:szCs w:val="24"/>
        </w:rPr>
      </w:pPr>
    </w:p>
    <w:p w:rsidR="00450458" w:rsidRDefault="00450458"/>
    <w:sectPr w:rsidR="00450458" w:rsidSect="000C1A12">
      <w:headerReference w:type="default" r:id="rId12"/>
      <w:footnotePr>
        <w:pos w:val="beneathText"/>
        <w:numRestart w:val="eachPage"/>
      </w:footnotePr>
      <w:endnotePr>
        <w:numFmt w:val="decimal"/>
      </w:endnotePr>
      <w:pgSz w:w="11905" w:h="16837"/>
      <w:pgMar w:top="104" w:right="1134" w:bottom="1955" w:left="1134" w:header="426" w:footer="45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080F" w:rsidRDefault="0038080F">
      <w:r>
        <w:separator/>
      </w:r>
    </w:p>
  </w:endnote>
  <w:endnote w:type="continuationSeparator" w:id="0">
    <w:p w:rsidR="0038080F" w:rsidRDefault="003808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PalatinoCE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080F" w:rsidRDefault="0038080F">
      <w:r>
        <w:separator/>
      </w:r>
    </w:p>
  </w:footnote>
  <w:footnote w:type="continuationSeparator" w:id="0">
    <w:p w:rsidR="0038080F" w:rsidRDefault="003808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12" w:rsidRDefault="000C1A12" w:rsidP="000C1A12"/>
  <w:p w:rsidR="0031151A" w:rsidRDefault="0031151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AF5DE7"/>
    <w:multiLevelType w:val="hybridMultilevel"/>
    <w:tmpl w:val="6DCA50DB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D9F93555"/>
    <w:multiLevelType w:val="hybridMultilevel"/>
    <w:tmpl w:val="D1D1FAAF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81585A6"/>
    <w:multiLevelType w:val="hybridMultilevel"/>
    <w:tmpl w:val="4EC95881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9A244EF"/>
    <w:multiLevelType w:val="hybridMultilevel"/>
    <w:tmpl w:val="91142BA4"/>
    <w:lvl w:ilvl="0" w:tplc="A2A2A95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A901C5"/>
    <w:multiLevelType w:val="hybridMultilevel"/>
    <w:tmpl w:val="39D293FA"/>
    <w:lvl w:ilvl="0" w:tplc="D6087BD0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31C4B1B"/>
    <w:multiLevelType w:val="hybridMultilevel"/>
    <w:tmpl w:val="2C1486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996576"/>
    <w:multiLevelType w:val="hybridMultilevel"/>
    <w:tmpl w:val="3C84DD30"/>
    <w:lvl w:ilvl="0" w:tplc="FB8AA9D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2026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2A296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FCB4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A86B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A2C03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CE439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D20E4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3004E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D7F4D13"/>
    <w:multiLevelType w:val="hybridMultilevel"/>
    <w:tmpl w:val="F0D67CA2"/>
    <w:lvl w:ilvl="0" w:tplc="FFFFFFFF">
      <w:start w:val="1"/>
      <w:numFmt w:val="ideographDigit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2115646D"/>
    <w:multiLevelType w:val="hybridMultilevel"/>
    <w:tmpl w:val="819472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762EEC"/>
    <w:multiLevelType w:val="hybridMultilevel"/>
    <w:tmpl w:val="7C82E3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1D5E6D"/>
    <w:multiLevelType w:val="hybridMultilevel"/>
    <w:tmpl w:val="10283B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EA5439"/>
    <w:multiLevelType w:val="hybridMultilevel"/>
    <w:tmpl w:val="5DA60B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EF03B9"/>
    <w:multiLevelType w:val="hybridMultilevel"/>
    <w:tmpl w:val="2550E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573CD8"/>
    <w:multiLevelType w:val="multilevel"/>
    <w:tmpl w:val="E0CEC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3F35BD1"/>
    <w:multiLevelType w:val="hybridMultilevel"/>
    <w:tmpl w:val="3320D4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C01678"/>
    <w:multiLevelType w:val="hybridMultilevel"/>
    <w:tmpl w:val="8A8A71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AD1C89"/>
    <w:multiLevelType w:val="hybridMultilevel"/>
    <w:tmpl w:val="D65E623E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D637520"/>
    <w:multiLevelType w:val="hybridMultilevel"/>
    <w:tmpl w:val="00DE8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3E5B49"/>
    <w:multiLevelType w:val="hybridMultilevel"/>
    <w:tmpl w:val="F7FE87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E32BC1"/>
    <w:multiLevelType w:val="hybridMultilevel"/>
    <w:tmpl w:val="E1481B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320E6C"/>
    <w:multiLevelType w:val="hybridMultilevel"/>
    <w:tmpl w:val="58F06B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DF61DB7"/>
    <w:multiLevelType w:val="hybridMultilevel"/>
    <w:tmpl w:val="2AB249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12"/>
  </w:num>
  <w:num w:numId="5">
    <w:abstractNumId w:val="10"/>
  </w:num>
  <w:num w:numId="6">
    <w:abstractNumId w:val="17"/>
  </w:num>
  <w:num w:numId="7">
    <w:abstractNumId w:val="4"/>
  </w:num>
  <w:num w:numId="8">
    <w:abstractNumId w:val="7"/>
  </w:num>
  <w:num w:numId="9">
    <w:abstractNumId w:val="0"/>
  </w:num>
  <w:num w:numId="10">
    <w:abstractNumId w:val="1"/>
  </w:num>
  <w:num w:numId="11">
    <w:abstractNumId w:val="2"/>
  </w:num>
  <w:num w:numId="12">
    <w:abstractNumId w:val="16"/>
  </w:num>
  <w:num w:numId="13">
    <w:abstractNumId w:val="3"/>
  </w:num>
  <w:num w:numId="14">
    <w:abstractNumId w:val="20"/>
  </w:num>
  <w:num w:numId="15">
    <w:abstractNumId w:val="21"/>
  </w:num>
  <w:num w:numId="16">
    <w:abstractNumId w:val="15"/>
  </w:num>
  <w:num w:numId="17">
    <w:abstractNumId w:val="18"/>
  </w:num>
  <w:num w:numId="18">
    <w:abstractNumId w:val="14"/>
  </w:num>
  <w:num w:numId="19">
    <w:abstractNumId w:val="19"/>
  </w:num>
  <w:num w:numId="20">
    <w:abstractNumId w:val="8"/>
  </w:num>
  <w:num w:numId="21">
    <w:abstractNumId w:val="9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CC3"/>
    <w:rsid w:val="0002120F"/>
    <w:rsid w:val="00064AC5"/>
    <w:rsid w:val="000C1A12"/>
    <w:rsid w:val="0010087F"/>
    <w:rsid w:val="00111425"/>
    <w:rsid w:val="001339D1"/>
    <w:rsid w:val="0014178E"/>
    <w:rsid w:val="00145E3E"/>
    <w:rsid w:val="001809EA"/>
    <w:rsid w:val="002275ED"/>
    <w:rsid w:val="00275A3D"/>
    <w:rsid w:val="00293772"/>
    <w:rsid w:val="002C249E"/>
    <w:rsid w:val="002C3719"/>
    <w:rsid w:val="002D61F3"/>
    <w:rsid w:val="00307802"/>
    <w:rsid w:val="0031151A"/>
    <w:rsid w:val="0031683B"/>
    <w:rsid w:val="003358AE"/>
    <w:rsid w:val="00353555"/>
    <w:rsid w:val="00354C5A"/>
    <w:rsid w:val="0038080F"/>
    <w:rsid w:val="003823F4"/>
    <w:rsid w:val="003846D5"/>
    <w:rsid w:val="003B1608"/>
    <w:rsid w:val="003D6815"/>
    <w:rsid w:val="00401AAD"/>
    <w:rsid w:val="00422271"/>
    <w:rsid w:val="00442605"/>
    <w:rsid w:val="00444BE0"/>
    <w:rsid w:val="00450458"/>
    <w:rsid w:val="0045480B"/>
    <w:rsid w:val="00474E71"/>
    <w:rsid w:val="0048777F"/>
    <w:rsid w:val="004F36C3"/>
    <w:rsid w:val="00511832"/>
    <w:rsid w:val="00535F2A"/>
    <w:rsid w:val="00554158"/>
    <w:rsid w:val="0059392F"/>
    <w:rsid w:val="005B15D7"/>
    <w:rsid w:val="005B3567"/>
    <w:rsid w:val="005F0E48"/>
    <w:rsid w:val="005F51C2"/>
    <w:rsid w:val="005F6FF3"/>
    <w:rsid w:val="006169DE"/>
    <w:rsid w:val="00663F3C"/>
    <w:rsid w:val="006860A6"/>
    <w:rsid w:val="00695A12"/>
    <w:rsid w:val="006A70D7"/>
    <w:rsid w:val="006C6C30"/>
    <w:rsid w:val="006D6F7E"/>
    <w:rsid w:val="006E7AE8"/>
    <w:rsid w:val="007032DD"/>
    <w:rsid w:val="0071771B"/>
    <w:rsid w:val="00721E1B"/>
    <w:rsid w:val="00760831"/>
    <w:rsid w:val="007E68D8"/>
    <w:rsid w:val="007E6A60"/>
    <w:rsid w:val="008E1472"/>
    <w:rsid w:val="00993B80"/>
    <w:rsid w:val="00997604"/>
    <w:rsid w:val="009A1074"/>
    <w:rsid w:val="009A1C62"/>
    <w:rsid w:val="009D0B3D"/>
    <w:rsid w:val="00A27B89"/>
    <w:rsid w:val="00A64203"/>
    <w:rsid w:val="00A90A8A"/>
    <w:rsid w:val="00AB2B59"/>
    <w:rsid w:val="00B12219"/>
    <w:rsid w:val="00B61582"/>
    <w:rsid w:val="00B84521"/>
    <w:rsid w:val="00BA3DC7"/>
    <w:rsid w:val="00C024F5"/>
    <w:rsid w:val="00C30DBE"/>
    <w:rsid w:val="00C7475A"/>
    <w:rsid w:val="00CB1248"/>
    <w:rsid w:val="00D1109C"/>
    <w:rsid w:val="00D13244"/>
    <w:rsid w:val="00D15B77"/>
    <w:rsid w:val="00D51CC3"/>
    <w:rsid w:val="00D53046"/>
    <w:rsid w:val="00D64A81"/>
    <w:rsid w:val="00D82068"/>
    <w:rsid w:val="00D84D70"/>
    <w:rsid w:val="00E04C38"/>
    <w:rsid w:val="00E309E5"/>
    <w:rsid w:val="00E83490"/>
    <w:rsid w:val="00F16DBE"/>
    <w:rsid w:val="00F4030F"/>
    <w:rsid w:val="00F666A4"/>
    <w:rsid w:val="00F84D33"/>
    <w:rsid w:val="00F87EE6"/>
    <w:rsid w:val="00FA257D"/>
    <w:rsid w:val="00FA77EF"/>
    <w:rsid w:val="00FB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StylE-mailovZprvy24">
    <w:name w:val="StylE-mailovéZprávy24"/>
    <w:semiHidden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table" w:styleId="Mkatabulky">
    <w:name w:val="Table Grid"/>
    <w:basedOn w:val="Normlntabulka"/>
    <w:rsid w:val="00D84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atalabel">
    <w:name w:val="datalabel"/>
    <w:rsid w:val="00D84D70"/>
  </w:style>
  <w:style w:type="paragraph" w:styleId="Textbubliny">
    <w:name w:val="Balloon Text"/>
    <w:basedOn w:val="Normln"/>
    <w:link w:val="TextbublinyChar"/>
    <w:rsid w:val="003535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353555"/>
    <w:rPr>
      <w:rFonts w:ascii="Tahoma" w:hAnsi="Tahoma" w:cs="Tahoma"/>
      <w:kern w:val="1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51CC3"/>
    <w:pPr>
      <w:ind w:left="720"/>
      <w:contextualSpacing/>
    </w:pPr>
  </w:style>
  <w:style w:type="paragraph" w:customStyle="1" w:styleId="Default">
    <w:name w:val="Default"/>
    <w:rsid w:val="00663F3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rsid w:val="00450458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6860A6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table" w:customStyle="1" w:styleId="Mkatabulky1">
    <w:name w:val="Mřížka tabulky1"/>
    <w:basedOn w:val="Normlntabulka"/>
    <w:next w:val="Mkatabulky"/>
    <w:uiPriority w:val="59"/>
    <w:rsid w:val="0051183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13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40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9561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24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98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42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3677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802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1253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356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242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298149">
                                                          <w:marLeft w:val="0"/>
                                                          <w:marRight w:val="0"/>
                                                          <w:marTop w:val="450"/>
                                                          <w:marBottom w:val="45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71480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258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single" w:sz="24" w:space="0" w:color="auto"/>
                                                                    <w:left w:val="single" w:sz="24" w:space="0" w:color="auto"/>
                                                                    <w:bottom w:val="single" w:sz="24" w:space="0" w:color="auto"/>
                                                                    <w:right w:val="single" w:sz="24" w:space="0" w:color="auto"/>
                                                                  </w:divBdr>
                                                                  <w:divsChild>
                                                                    <w:div w:id="16690934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641919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EEEEE"/>
                                                                            <w:left w:val="single" w:sz="6" w:space="11" w:color="EEEEEE"/>
                                                                            <w:bottom w:val="single" w:sz="6" w:space="0" w:color="EEEEEE"/>
                                                                            <w:right w:val="single" w:sz="6" w:space="11" w:color="EEEEEE"/>
                                                                          </w:divBdr>
                                                                          <w:divsChild>
                                                                            <w:div w:id="1238246117">
                                                                              <w:marLeft w:val="-225"/>
                                                                              <w:marRight w:val="-225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5996678">
                                                                                  <w:marLeft w:val="-225"/>
                                                                                  <w:marRight w:val="-225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11" w:color="EEEEEE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6246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69266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501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8977">
          <w:marLeft w:val="375"/>
          <w:marRight w:val="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65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15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800930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single" w:sz="36" w:space="0" w:color="969696"/>
                            <w:left w:val="single" w:sz="36" w:space="0" w:color="969696"/>
                            <w:bottom w:val="single" w:sz="36" w:space="0" w:color="969696"/>
                            <w:right w:val="single" w:sz="36" w:space="0" w:color="969696"/>
                          </w:divBdr>
                          <w:divsChild>
                            <w:div w:id="1777170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028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4" w:color="FF0000"/>
                                <w:left w:val="single" w:sz="2" w:space="15" w:color="FF0000"/>
                                <w:bottom w:val="single" w:sz="2" w:space="4" w:color="FF0000"/>
                                <w:right w:val="single" w:sz="2" w:space="15" w:color="FF0000"/>
                              </w:divBdr>
                              <w:divsChild>
                                <w:div w:id="1816028556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6265788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942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209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3800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646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10083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3553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7224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7335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8658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1924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2792">
          <w:marLeft w:val="109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vobodova.NB-SVOBODOVA\Documents\DUM\DUM-DOC-sablona-Perspektiv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807C0-B2CB-4262-B702-BCD1DEA3B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DUM-DOC-sablona-Perspektiva</Template>
  <TotalTime>0</TotalTime>
  <Pages>5</Pages>
  <Words>1224</Words>
  <Characters>7224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NUOV</Company>
  <LinksUpToDate>false</LinksUpToDate>
  <CharactersWithSpaces>8432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svobodova</dc:creator>
  <dc:description>Dostupné z Metodického portálu www.rvp.cz, ISSN: 1802-4785, financovaného z ESF a státního rozpočtu ČR. Provozováno Výzkumným ústavem pedagogickým v Praze.</dc:description>
  <cp:lastModifiedBy>svobodova</cp:lastModifiedBy>
  <cp:revision>2</cp:revision>
  <cp:lastPrinted>1900-12-31T23:00:00Z</cp:lastPrinted>
  <dcterms:created xsi:type="dcterms:W3CDTF">2013-06-20T20:03:00Z</dcterms:created>
  <dcterms:modified xsi:type="dcterms:W3CDTF">2013-06-20T20:03:00Z</dcterms:modified>
</cp:coreProperties>
</file>