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E945C9" w:rsidRPr="00444BE0" w:rsidRDefault="00E945C9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945C9" w:rsidRPr="000133AC" w:rsidRDefault="00E945C9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VY_52_INOVACE_4.A_2/25</w:t>
            </w:r>
          </w:p>
          <w:p w:rsidR="00E945C9" w:rsidRPr="000133AC" w:rsidRDefault="00E945C9" w:rsidP="003221E8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E945C9" w:rsidRPr="00444BE0" w:rsidRDefault="00E945C9" w:rsidP="00E945C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Typy a specifika sociálního vyloučení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945C9" w:rsidRPr="00444BE0" w:rsidRDefault="00E945C9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1.4.2013</w:t>
            </w:r>
            <w:proofErr w:type="gramEnd"/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E945C9" w:rsidRPr="00444BE0" w:rsidRDefault="00E945C9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E945C9" w:rsidRPr="00444BE0" w:rsidRDefault="00E945C9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E945C9" w:rsidRPr="00D84D70" w:rsidRDefault="00E945C9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E945C9" w:rsidRPr="00D84D70" w:rsidRDefault="00E945C9" w:rsidP="00E945C9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studijní text pro žáky obsahující informace o jednotlivých typech sociálního vyloučení. Aby žáci dokázali tyto informace aplikovat, jsou za textem uvedeny 4 konkrétní případy klientů. Žáci mají určit, o jaký typ vyloučení se u nich jedná.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E945C9" w:rsidRDefault="00E945C9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Ekonomické vylouče</w:t>
            </w:r>
            <w:bookmarkStart w:id="0" w:name="_GoBack"/>
            <w:bookmarkEnd w:id="0"/>
            <w:r>
              <w:rPr>
                <w:rFonts w:asciiTheme="minorHAnsi" w:hAnsiTheme="minorHAnsi"/>
                <w:sz w:val="28"/>
                <w:szCs w:val="28"/>
              </w:rPr>
              <w:t>ní, sociální vyloučení, symbolické vyloučení, kulturní vyloučení, prostorové vyloučení</w:t>
            </w:r>
          </w:p>
          <w:p w:rsidR="00E945C9" w:rsidRPr="00D84D70" w:rsidRDefault="00E945C9" w:rsidP="003221E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E945C9" w:rsidRPr="00444BE0" w:rsidRDefault="00E945C9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E945C9" w:rsidRPr="00E945C9" w:rsidRDefault="00E945C9" w:rsidP="00E945C9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E945C9" w:rsidRPr="00E945C9" w:rsidRDefault="00E945C9" w:rsidP="00E945C9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E945C9" w:rsidRPr="00D84D70" w:rsidRDefault="00E945C9" w:rsidP="00E945C9">
            <w:pPr>
              <w:rPr>
                <w:rFonts w:asciiTheme="minorHAnsi" w:hAnsiTheme="minorHAnsi"/>
                <w:sz w:val="28"/>
                <w:szCs w:val="28"/>
              </w:rPr>
            </w:pPr>
            <w:r w:rsidRPr="00E945C9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E945C9" w:rsidRPr="00D84D70" w:rsidRDefault="00E945C9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E945C9" w:rsidRPr="00D84D70" w:rsidTr="00D84D70">
        <w:trPr>
          <w:jc w:val="center"/>
        </w:trPr>
        <w:tc>
          <w:tcPr>
            <w:tcW w:w="2642" w:type="dxa"/>
          </w:tcPr>
          <w:p w:rsidR="00E945C9" w:rsidRPr="00444BE0" w:rsidRDefault="00E945C9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E945C9" w:rsidRPr="00D84D70" w:rsidRDefault="00E945C9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color w:val="323235"/>
          <w:kern w:val="0"/>
          <w:szCs w:val="24"/>
        </w:rPr>
      </w:pPr>
      <w:r w:rsidRPr="006916CE">
        <w:rPr>
          <w:rFonts w:ascii="Arial" w:hAnsi="Arial" w:cs="Arial"/>
          <w:b/>
          <w:bCs/>
          <w:color w:val="323235"/>
          <w:kern w:val="0"/>
          <w:szCs w:val="24"/>
        </w:rPr>
        <w:lastRenderedPageBreak/>
        <w:t>Prostorové vyloučení</w:t>
      </w:r>
    </w:p>
    <w:p w:rsidR="006916CE" w:rsidRPr="006916CE" w:rsidRDefault="006916CE" w:rsidP="00E945C9">
      <w:pPr>
        <w:widowControl/>
        <w:suppressAutoHyphens w:val="0"/>
        <w:overflowPunct/>
        <w:jc w:val="both"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Prostorové vyloučení je nezřetelnějším projevem sociální exkluze. Sociálně</w:t>
      </w:r>
    </w:p>
    <w:p w:rsidR="006916CE" w:rsidRPr="006916CE" w:rsidRDefault="006916CE" w:rsidP="00E945C9">
      <w:pPr>
        <w:widowControl/>
        <w:suppressAutoHyphens w:val="0"/>
        <w:overflowPunct/>
        <w:jc w:val="both"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vyloučené osoby obvykle žijí v lokalitách, které se vyznačují nízkou kvalitou bydlení.</w:t>
      </w:r>
    </w:p>
    <w:p w:rsidR="006916CE" w:rsidRPr="006916CE" w:rsidRDefault="006916CE" w:rsidP="00E945C9">
      <w:pPr>
        <w:widowControl/>
        <w:suppressAutoHyphens w:val="0"/>
        <w:overflowPunct/>
        <w:jc w:val="both"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Tyto lokality mohou mít podobu městské části (například Předlice v Ústí</w:t>
      </w:r>
    </w:p>
    <w:p w:rsidR="006916CE" w:rsidRPr="006916CE" w:rsidRDefault="006916CE" w:rsidP="00E945C9">
      <w:pPr>
        <w:widowControl/>
        <w:suppressAutoHyphens w:val="0"/>
        <w:overflowPunct/>
        <w:jc w:val="both"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nad Labem), ulice (Matiční ulice v Ústí nad Labem) anebo jednoho či více objektů</w:t>
      </w:r>
    </w:p>
    <w:p w:rsidR="006916CE" w:rsidRPr="006916CE" w:rsidRDefault="006916CE" w:rsidP="00E945C9">
      <w:pPr>
        <w:widowControl/>
        <w:suppressAutoHyphens w:val="0"/>
        <w:overflowPunct/>
        <w:jc w:val="both"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(objekty v Jateční a Duchcovské ulice v Plzni). Tyto lokality jsou odborníky</w:t>
      </w:r>
    </w:p>
    <w:p w:rsidR="006916CE" w:rsidRPr="006916CE" w:rsidRDefault="006916CE" w:rsidP="00E945C9">
      <w:pPr>
        <w:widowControl/>
        <w:suppressAutoHyphens w:val="0"/>
        <w:overflowPunct/>
        <w:jc w:val="both"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označovány jako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>ghetta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,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sociálně vyloučené lokality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či nepřesně (chudinské, etnické)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F39310"/>
          <w:kern w:val="0"/>
          <w:szCs w:val="24"/>
        </w:rPr>
        <w:t>enklávy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. Místní samosprávy tyto lokality nazývají „objekty pro nepřizpůsobivé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občany“, „byty pro neplatiče“, „holobyty“ či v lepším případě „byty pro sociálně slabé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občany“. Média a veřejnost pak o těchto lokalitách mluví jako o „domech hrůzy“,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„Bronxu“, „Mexiku“ apod. Ve většině případů se v těchto lokalitách lidé ocitají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nedobrovolně, a to v důsledku zamýšleného či nezamýšleného jednání místní samosprávy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či v důsledku ostatních faktorů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sociálního vyloučení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(zejména v důsledku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vyloučení ekonomického). Je nutné upozornit na to, že život ve vyloučené lokalitě</w:t>
      </w:r>
    </w:p>
    <w:p w:rsidR="00554158" w:rsidRPr="006916CE" w:rsidRDefault="006916CE" w:rsidP="006916CE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 w:cs="Arial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přináší vyšší ekonomickou zátěž pro samotné obyvatele, ale ve svých důsledcích</w:t>
      </w:r>
    </w:p>
    <w:p w:rsidR="00554158" w:rsidRPr="006916CE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 w:cs="Arial"/>
          <w:kern w:val="0"/>
          <w:szCs w:val="24"/>
        </w:rPr>
      </w:pPr>
    </w:p>
    <w:p w:rsid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color w:val="323235"/>
          <w:kern w:val="0"/>
          <w:szCs w:val="24"/>
        </w:rPr>
      </w:pPr>
      <w:r w:rsidRPr="006916CE">
        <w:rPr>
          <w:rFonts w:ascii="Arial" w:hAnsi="Arial" w:cs="Arial"/>
          <w:b/>
          <w:bCs/>
          <w:color w:val="323235"/>
          <w:kern w:val="0"/>
          <w:szCs w:val="24"/>
        </w:rPr>
        <w:t>Ekonomické vyloučení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Ekonomické vyloučení se projevuje uzavřením přístupu na primární, ale i </w:t>
      </w:r>
      <w:proofErr w:type="gramStart"/>
      <w:r w:rsidRPr="006916CE">
        <w:rPr>
          <w:rFonts w:ascii="Arial" w:eastAsia="ArialMT" w:hAnsi="Arial" w:cs="Arial"/>
          <w:color w:val="323235"/>
          <w:kern w:val="0"/>
          <w:szCs w:val="24"/>
        </w:rPr>
        <w:t>na</w:t>
      </w:r>
      <w:proofErr w:type="gramEnd"/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F39310"/>
          <w:kern w:val="0"/>
          <w:szCs w:val="24"/>
        </w:rPr>
        <w:t>sekundární trh práce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,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chudobou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a následným uzavřením životních šancí. </w:t>
      </w:r>
      <w:proofErr w:type="gramStart"/>
      <w:r w:rsidRPr="006916CE">
        <w:rPr>
          <w:rFonts w:ascii="Arial" w:eastAsia="ArialMT" w:hAnsi="Arial" w:cs="Arial"/>
          <w:color w:val="323235"/>
          <w:kern w:val="0"/>
          <w:szCs w:val="24"/>
        </w:rPr>
        <w:t>Na</w:t>
      </w:r>
      <w:proofErr w:type="gramEnd"/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situaci ekonomického vyloučení, která znamená ztížený nebo zamezený přístup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k finančním zdrojům, lidé reagují tak, aby dokázali sehnat alespoň minimální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prostředky nutné k uspokojení základních potřeb. Jejich chování je adaptací na situaci,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F39310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ve které se ocitli. Adaptací na ekonomické vyloučení je orientace na sféru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>černé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F39310"/>
          <w:kern w:val="0"/>
          <w:szCs w:val="24"/>
        </w:rPr>
        <w:t>ekonomiky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,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černého trhu práce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a závislost na sociálních dávkách. Uzavření přístupu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na trh práce přitom nemusí být jen důsledek diskriminace či nedostatku pracovních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nabídek (vnější příčiny sociálního vyloučení), ale též vysoké zadlužeností či ztráty</w:t>
      </w:r>
    </w:p>
    <w:p w:rsidR="006916CE" w:rsidRPr="006916CE" w:rsidRDefault="006916CE" w:rsidP="006916C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kern w:val="0"/>
          <w:szCs w:val="24"/>
          <w:lang w:eastAsia="en-US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pracovních návyků (vnitřní příčiny).</w:t>
      </w: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color w:val="323235"/>
          <w:kern w:val="0"/>
          <w:szCs w:val="24"/>
        </w:rPr>
      </w:pPr>
      <w:r w:rsidRPr="006916CE">
        <w:rPr>
          <w:rFonts w:ascii="Arial" w:hAnsi="Arial" w:cs="Arial"/>
          <w:b/>
          <w:bCs/>
          <w:color w:val="323235"/>
          <w:kern w:val="0"/>
          <w:szCs w:val="24"/>
        </w:rPr>
        <w:t>Kulturní vyloučení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Kulturním vyloučením je zpravidla míněn omezený přístup ke vzdělání a znalostem,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které jsou většinovou společností uznávány a ceněny. Odborně se hovoří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o vyloučení ze sdílení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kulturního kapitálu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společnosti.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Omezení přístupu ke vzdělání je opět způsobeno kombinací vnějších a vnitřních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příčin. Vnějšími příčinami je například praxe umisťování dětí z „problémových romských“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rodin do zvláštních či speciálních škol, kde získávají méně kvalitní vzdělání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než zbytek jejich vrstevníků. Vnitřními příčinami jsou zde například nízké vzdělání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rodičů, kteří nechápou souvislost mezi vzděláním a životním úspěchem, a své děti</w:t>
      </w:r>
    </w:p>
    <w:p w:rsidR="00450458" w:rsidRDefault="006916CE" w:rsidP="006916CE">
      <w:pPr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dostatečně nemotivují ke školní docházce a úspěšnosti.</w:t>
      </w:r>
    </w:p>
    <w:p w:rsidR="006916CE" w:rsidRDefault="006916CE" w:rsidP="006916CE">
      <w:pPr>
        <w:rPr>
          <w:rFonts w:ascii="Arial" w:eastAsia="ArialMT" w:hAnsi="Arial" w:cs="Arial"/>
          <w:color w:val="323235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color w:val="323235"/>
          <w:kern w:val="0"/>
          <w:szCs w:val="24"/>
        </w:rPr>
      </w:pPr>
      <w:r w:rsidRPr="006916CE">
        <w:rPr>
          <w:rFonts w:ascii="Arial" w:hAnsi="Arial" w:cs="Arial"/>
          <w:b/>
          <w:bCs/>
          <w:color w:val="323235"/>
          <w:kern w:val="0"/>
          <w:szCs w:val="24"/>
        </w:rPr>
        <w:t>Sociální vyloučení (v užším smyslu)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Sociálním vyloučením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v užším smyslu se rozumí fakt, že společenské styky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vyloučených lidí se omezují na kontakty s lidmi, kteří se nacházejí ve stejném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postavení jako oni, a i počet těchto kontaktů je zpravidla nižší, než počet kontaktů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průměrného jedince z většinové společnosti. Obdobně jako v případě kulturního</w:t>
      </w:r>
    </w:p>
    <w:p w:rsidR="006916CE" w:rsidRDefault="006916CE" w:rsidP="006916CE">
      <w:pPr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vyloučení hovoří odborníci o vyloučení ze sdílení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sociálního kapitálu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společnosti.</w:t>
      </w:r>
    </w:p>
    <w:p w:rsidR="006916CE" w:rsidRDefault="006916CE" w:rsidP="006916CE">
      <w:pPr>
        <w:rPr>
          <w:rFonts w:ascii="Arial" w:eastAsia="ArialMT" w:hAnsi="Arial" w:cs="Arial"/>
          <w:color w:val="323235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color w:val="323235"/>
          <w:kern w:val="0"/>
          <w:szCs w:val="24"/>
        </w:rPr>
      </w:pPr>
      <w:r w:rsidRPr="006916CE">
        <w:rPr>
          <w:rFonts w:ascii="Arial" w:hAnsi="Arial" w:cs="Arial"/>
          <w:b/>
          <w:bCs/>
          <w:color w:val="323235"/>
          <w:kern w:val="0"/>
          <w:szCs w:val="24"/>
        </w:rPr>
        <w:lastRenderedPageBreak/>
        <w:t>Symbolické vyloučení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Sociální vyloučení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se odehrává i v rovině významů a charakteristik, které jsou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vyloučeným osobám přisuzovány většinovou populací. Tito lidé jsou paušálně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označováni jako „neplatiči“, „nepřizpůsobiví občané“ a mnohdy ještě hůře. Ačkoli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tato označení ve skutečnosti nemusí být pravdivá, ve svých důsledcích </w:t>
      </w:r>
      <w:proofErr w:type="gramStart"/>
      <w:r w:rsidRPr="006916CE">
        <w:rPr>
          <w:rFonts w:ascii="Arial" w:eastAsia="ArialMT" w:hAnsi="Arial" w:cs="Arial"/>
          <w:color w:val="323235"/>
          <w:kern w:val="0"/>
          <w:szCs w:val="24"/>
        </w:rPr>
        <w:t>se</w:t>
      </w:r>
      <w:proofErr w:type="gramEnd"/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 pravdivými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>stávají, neboť je s těmito lidmi jako s „neplatiči“ či „nepřizpůsobivými“ zacházeno.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Symbolickým vyloučením rozumíme také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 xml:space="preserve">stigmatizaci 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na základě sociálního statusu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color w:val="323235"/>
          <w:kern w:val="0"/>
          <w:szCs w:val="24"/>
        </w:rPr>
        <w:t xml:space="preserve">jedince (nezaměstnanost, bydliště atp.) či </w:t>
      </w:r>
      <w:r w:rsidRPr="006916CE">
        <w:rPr>
          <w:rFonts w:ascii="Arial" w:eastAsia="ArialMT" w:hAnsi="Arial" w:cs="Arial"/>
          <w:color w:val="F39310"/>
          <w:kern w:val="0"/>
          <w:szCs w:val="24"/>
        </w:rPr>
        <w:t>etnicity</w:t>
      </w:r>
      <w:r w:rsidRPr="006916CE">
        <w:rPr>
          <w:rFonts w:ascii="Arial" w:eastAsia="ArialMT" w:hAnsi="Arial" w:cs="Arial"/>
          <w:color w:val="323235"/>
          <w:kern w:val="0"/>
          <w:szCs w:val="24"/>
        </w:rPr>
        <w:t>.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b/>
          <w:color w:val="323235"/>
          <w:kern w:val="0"/>
          <w:szCs w:val="24"/>
        </w:rPr>
        <w:t>Zadání pro žáky: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color w:val="323235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color w:val="323235"/>
          <w:kern w:val="0"/>
          <w:szCs w:val="24"/>
        </w:rPr>
      </w:pPr>
      <w:r w:rsidRPr="006916CE">
        <w:rPr>
          <w:rFonts w:ascii="Arial" w:eastAsia="ArialMT" w:hAnsi="Arial" w:cs="Arial"/>
          <w:b/>
          <w:color w:val="323235"/>
          <w:kern w:val="0"/>
          <w:szCs w:val="24"/>
        </w:rPr>
        <w:t>Prostudujte si vysvětlení jednotlivých mechanismů sociálního vyloučení, které působí v různých životních oblastech. K následujícím 4 příkladům přiřaďte název příslušné životní oblasti sociálního vyloučení: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color w:val="323235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kern w:val="0"/>
          <w:szCs w:val="24"/>
        </w:rPr>
      </w:pPr>
      <w:r w:rsidRPr="006916CE">
        <w:rPr>
          <w:rFonts w:ascii="Arial" w:eastAsia="ArialMT" w:hAnsi="Arial" w:cs="Arial"/>
          <w:b/>
          <w:kern w:val="0"/>
          <w:szCs w:val="24"/>
        </w:rPr>
        <w:t>Příklad č. 1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Pan R. Č. je dlouhodobě nezaměstnaný a společně s manželkou mají řadu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 xml:space="preserve">dluhů.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Převážně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se jedná o pokuty za jízdu na černo v MHD, u nichž v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některých</w:t>
      </w:r>
      <w:proofErr w:type="gramEnd"/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proofErr w:type="gramStart"/>
      <w:r w:rsidRPr="006916CE">
        <w:rPr>
          <w:rFonts w:ascii="Arial" w:eastAsia="ArialMT" w:hAnsi="Arial" w:cs="Arial"/>
          <w:kern w:val="0"/>
          <w:szCs w:val="24"/>
        </w:rPr>
        <w:t>případech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již soud rozhodl o exekuci majetku. Třebaže je rodina zadlužená a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potýká se s nedostatkem financí, pan R. aktivně zaměstnání neshání. Nevyplatí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proofErr w:type="gramStart"/>
      <w:r w:rsidRPr="006916CE">
        <w:rPr>
          <w:rFonts w:ascii="Arial" w:eastAsia="ArialMT" w:hAnsi="Arial" w:cs="Arial"/>
          <w:kern w:val="0"/>
          <w:szCs w:val="24"/>
        </w:rPr>
        <w:t>se mu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to, neboť by v důsledku exekučních rozhodnutí o značnou část mzdy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okamžitě přišel. Legální zaměstnání by mu v jeho situaci nepřineslo zvýšení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příjmů. Raději se tedy spoléhá na sociální dávky a příležitostnou práci na černo.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Třebaže se dopouští porušování zákonů, z pohledu sociálního vyloučení je jeho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chování racionální adaptací.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>
        <w:rPr>
          <w:rFonts w:ascii="Arial" w:eastAsia="ArialMT" w:hAnsi="Arial" w:cs="Arial"/>
          <w:kern w:val="0"/>
          <w:szCs w:val="24"/>
        </w:rPr>
        <w:t>O jaký typ „</w:t>
      </w:r>
      <w:proofErr w:type="spellStart"/>
      <w:r>
        <w:rPr>
          <w:rFonts w:ascii="Arial" w:eastAsia="ArialMT" w:hAnsi="Arial" w:cs="Arial"/>
          <w:kern w:val="0"/>
          <w:szCs w:val="24"/>
        </w:rPr>
        <w:t>vyoučení</w:t>
      </w:r>
      <w:proofErr w:type="spellEnd"/>
      <w:r>
        <w:rPr>
          <w:rFonts w:ascii="Arial" w:eastAsia="ArialMT" w:hAnsi="Arial" w:cs="Arial"/>
          <w:kern w:val="0"/>
          <w:szCs w:val="24"/>
        </w:rPr>
        <w:t xml:space="preserve">“ se </w:t>
      </w:r>
      <w:proofErr w:type="gramStart"/>
      <w:r>
        <w:rPr>
          <w:rFonts w:ascii="Arial" w:eastAsia="ArialMT" w:hAnsi="Arial" w:cs="Arial"/>
          <w:kern w:val="0"/>
          <w:szCs w:val="24"/>
        </w:rPr>
        <w:t>jedná?.............................................................................</w:t>
      </w:r>
      <w:proofErr w:type="gramEnd"/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kern w:val="0"/>
          <w:szCs w:val="24"/>
        </w:rPr>
      </w:pPr>
      <w:r w:rsidRPr="006916CE">
        <w:rPr>
          <w:rFonts w:ascii="Arial" w:eastAsia="ArialMT" w:hAnsi="Arial" w:cs="Arial"/>
          <w:b/>
          <w:kern w:val="0"/>
          <w:szCs w:val="24"/>
        </w:rPr>
        <w:t>Příklad č. 2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 xml:space="preserve">Syn paní M. Š., kterému je nyní 9 let, začal mít před rokem problémy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ve</w:t>
      </w:r>
      <w:proofErr w:type="gramEnd"/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škole, které nesouvisely s jeho studijními výsledky, ale byly důsledkem konfliktu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 xml:space="preserve">s třídním vyučujícím. Ten několikrát odmítl syna paní M. Š.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pustit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během vyučování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na toaletu, v důsledku čehož se syn vždy pomočil. Rodiče prostřednictvím terénního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 xml:space="preserve">sociálního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pracovníka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podali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stížnost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>, jejímž výsledkem byl návrh vedení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školy na přeřazení syna do speciální školy. Psycholog přeřazení nedoporučil,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protože na základě testů k tomu neshledal žádné důvody. Nicméně paní M. Š.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přesto s přeřazením souhlasila s pocitem, že „tam mu bude lépe“ a problémy se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tak vyřeší. Tím značně snížila šance svého syna na získání kvalitního vzdělání.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>
        <w:rPr>
          <w:rFonts w:ascii="Arial" w:eastAsia="ArialMT" w:hAnsi="Arial" w:cs="Arial"/>
          <w:kern w:val="0"/>
          <w:szCs w:val="24"/>
        </w:rPr>
        <w:t>O jaký typ „</w:t>
      </w:r>
      <w:proofErr w:type="spellStart"/>
      <w:r>
        <w:rPr>
          <w:rFonts w:ascii="Arial" w:eastAsia="ArialMT" w:hAnsi="Arial" w:cs="Arial"/>
          <w:kern w:val="0"/>
          <w:szCs w:val="24"/>
        </w:rPr>
        <w:t>vyoučení</w:t>
      </w:r>
      <w:proofErr w:type="spellEnd"/>
      <w:r>
        <w:rPr>
          <w:rFonts w:ascii="Arial" w:eastAsia="ArialMT" w:hAnsi="Arial" w:cs="Arial"/>
          <w:kern w:val="0"/>
          <w:szCs w:val="24"/>
        </w:rPr>
        <w:t xml:space="preserve">“ se </w:t>
      </w:r>
      <w:proofErr w:type="gramStart"/>
      <w:r>
        <w:rPr>
          <w:rFonts w:ascii="Arial" w:eastAsia="ArialMT" w:hAnsi="Arial" w:cs="Arial"/>
          <w:kern w:val="0"/>
          <w:szCs w:val="24"/>
        </w:rPr>
        <w:t>jedná?.............................................................................</w:t>
      </w:r>
      <w:proofErr w:type="gramEnd"/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Pr="00104079" w:rsidRDefault="00104079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kern w:val="0"/>
          <w:szCs w:val="24"/>
        </w:rPr>
      </w:pPr>
      <w:r w:rsidRPr="00104079">
        <w:rPr>
          <w:rFonts w:ascii="Arial" w:eastAsia="ArialMT" w:hAnsi="Arial" w:cs="Arial"/>
          <w:b/>
          <w:kern w:val="0"/>
          <w:szCs w:val="24"/>
        </w:rPr>
        <w:t>Příklad č. 3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Někteří odborníci označují sociálně vyloučené lokality metaforicky jako „továrny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na neplatiče“. Jejich poznatky z terénu ukazují, že mnozí lidé se neplatiči stali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až poté, co se v sociálně vyloučené lokalitě ocitli, a to v důsledku podmínek,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které zde panují. Ačkoli se totiž jedná převáženě o lokality, které mají sloužit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„sociálně slabším“ občanům, náklady na bydlení jsou zde v důsledku prostorového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vyloučení paradoxně vyšší než jinde. Vyšší náklady na bydlení jsou spojené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lastRenderedPageBreak/>
        <w:t>se špatným stavem objektů, nevhodným vytápěním (elektrické přímotopy bez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nočního proudu), špatnou izolací či vysokými nedoplatky za vodné, stočné a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 xml:space="preserve">elektřinu ve společných prostorách. U mnohých lidí, kteří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se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do vyloučené lokality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dostali pouze na základě úřední představy o jejich etnicitě, došlo k zadlužení až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v důsledku zvýšení životních nákladů, způsobeného nedobrovolným přestěhováním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do vyloučené lokality.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>
        <w:rPr>
          <w:rFonts w:ascii="Arial" w:eastAsia="ArialMT" w:hAnsi="Arial" w:cs="Arial"/>
          <w:kern w:val="0"/>
          <w:szCs w:val="24"/>
        </w:rPr>
        <w:t>O jaký typ „</w:t>
      </w:r>
      <w:proofErr w:type="spellStart"/>
      <w:r>
        <w:rPr>
          <w:rFonts w:ascii="Arial" w:eastAsia="ArialMT" w:hAnsi="Arial" w:cs="Arial"/>
          <w:kern w:val="0"/>
          <w:szCs w:val="24"/>
        </w:rPr>
        <w:t>vyoučení</w:t>
      </w:r>
      <w:proofErr w:type="spellEnd"/>
      <w:r>
        <w:rPr>
          <w:rFonts w:ascii="Arial" w:eastAsia="ArialMT" w:hAnsi="Arial" w:cs="Arial"/>
          <w:kern w:val="0"/>
          <w:szCs w:val="24"/>
        </w:rPr>
        <w:t xml:space="preserve">“ se </w:t>
      </w:r>
      <w:proofErr w:type="gramStart"/>
      <w:r>
        <w:rPr>
          <w:rFonts w:ascii="Arial" w:eastAsia="ArialMT" w:hAnsi="Arial" w:cs="Arial"/>
          <w:kern w:val="0"/>
          <w:szCs w:val="24"/>
        </w:rPr>
        <w:t>jedná?.............................................................................</w:t>
      </w:r>
      <w:proofErr w:type="gramEnd"/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Pr="00104079" w:rsidRDefault="00104079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b/>
          <w:kern w:val="0"/>
          <w:szCs w:val="24"/>
        </w:rPr>
      </w:pPr>
      <w:r w:rsidRPr="00104079">
        <w:rPr>
          <w:rFonts w:ascii="Arial" w:eastAsia="ArialMT" w:hAnsi="Arial" w:cs="Arial"/>
          <w:b/>
          <w:kern w:val="0"/>
          <w:szCs w:val="24"/>
        </w:rPr>
        <w:t>Příklad č. 4</w:t>
      </w:r>
    </w:p>
    <w:p w:rsidR="00104079" w:rsidRDefault="00104079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Paní Ž. Č. žije ve velmi malém sociálním světě. Její sociální síť zahrnuje 129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osob, které zná jménem. 86% z nich obývá sociálně vyloučenou lokalitu, kde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 xml:space="preserve">bydlí i </w:t>
      </w:r>
      <w:proofErr w:type="gramStart"/>
      <w:r w:rsidRPr="006916CE">
        <w:rPr>
          <w:rFonts w:ascii="Arial" w:eastAsia="ArialMT" w:hAnsi="Arial" w:cs="Arial"/>
          <w:kern w:val="0"/>
          <w:szCs w:val="24"/>
        </w:rPr>
        <w:t>paní Ž.Č.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>, a 21% reprezentuje její vlastní příbuzné. Avšak i ze zbylých 14%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jedinců, kteří žijí mimo tuto lokalitu, jich většina žije na okraji společnosti. Paní</w:t>
      </w:r>
    </w:p>
    <w:p w:rsidR="006916CE" w:rsidRP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proofErr w:type="gramStart"/>
      <w:r w:rsidRPr="006916CE">
        <w:rPr>
          <w:rFonts w:ascii="Arial" w:eastAsia="ArialMT" w:hAnsi="Arial" w:cs="Arial"/>
          <w:kern w:val="0"/>
          <w:szCs w:val="24"/>
        </w:rPr>
        <w:t>Ž.Č.</w:t>
      </w:r>
      <w:proofErr w:type="gramEnd"/>
      <w:r w:rsidRPr="006916CE">
        <w:rPr>
          <w:rFonts w:ascii="Arial" w:eastAsia="ArialMT" w:hAnsi="Arial" w:cs="Arial"/>
          <w:kern w:val="0"/>
          <w:szCs w:val="24"/>
        </w:rPr>
        <w:t xml:space="preserve"> má minimální kontakty s lidmi z většinové společnosti. Její šance, že opustí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6916CE">
        <w:rPr>
          <w:rFonts w:ascii="Arial" w:eastAsia="ArialMT" w:hAnsi="Arial" w:cs="Arial"/>
          <w:kern w:val="0"/>
          <w:szCs w:val="24"/>
        </w:rPr>
        <w:t>sociálně vyloučenou lokalitu, se tím značně snižuje.</w:t>
      </w: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>
        <w:rPr>
          <w:rFonts w:ascii="Arial" w:eastAsia="ArialMT" w:hAnsi="Arial" w:cs="Arial"/>
          <w:kern w:val="0"/>
          <w:szCs w:val="24"/>
        </w:rPr>
        <w:t>O jaký typ „</w:t>
      </w:r>
      <w:proofErr w:type="spellStart"/>
      <w:r>
        <w:rPr>
          <w:rFonts w:ascii="Arial" w:eastAsia="ArialMT" w:hAnsi="Arial" w:cs="Arial"/>
          <w:kern w:val="0"/>
          <w:szCs w:val="24"/>
        </w:rPr>
        <w:t>vyoučení</w:t>
      </w:r>
      <w:proofErr w:type="spellEnd"/>
      <w:r>
        <w:rPr>
          <w:rFonts w:ascii="Arial" w:eastAsia="ArialMT" w:hAnsi="Arial" w:cs="Arial"/>
          <w:kern w:val="0"/>
          <w:szCs w:val="24"/>
        </w:rPr>
        <w:t xml:space="preserve">“ se </w:t>
      </w:r>
      <w:proofErr w:type="gramStart"/>
      <w:r>
        <w:rPr>
          <w:rFonts w:ascii="Arial" w:eastAsia="ArialMT" w:hAnsi="Arial" w:cs="Arial"/>
          <w:kern w:val="0"/>
          <w:szCs w:val="24"/>
        </w:rPr>
        <w:t>jedná?.............................................................................</w:t>
      </w:r>
      <w:proofErr w:type="gramEnd"/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6916CE" w:rsidRDefault="006916CE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2B2FB1" w:rsidRPr="00E945C9" w:rsidRDefault="002B2FB1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E945C9">
        <w:rPr>
          <w:rFonts w:ascii="Arial" w:eastAsia="ArialMT" w:hAnsi="Arial" w:cs="Arial"/>
          <w:kern w:val="0"/>
          <w:szCs w:val="24"/>
        </w:rPr>
        <w:t>Zdroj:</w:t>
      </w:r>
    </w:p>
    <w:p w:rsidR="002B2FB1" w:rsidRPr="00E945C9" w:rsidRDefault="002B2FB1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</w:p>
    <w:p w:rsidR="002B2FB1" w:rsidRPr="00E945C9" w:rsidRDefault="002B2FB1" w:rsidP="006916CE">
      <w:pPr>
        <w:widowControl/>
        <w:suppressAutoHyphens w:val="0"/>
        <w:overflowPunct/>
        <w:textAlignment w:val="auto"/>
        <w:rPr>
          <w:rFonts w:ascii="Arial" w:eastAsia="ArialMT" w:hAnsi="Arial" w:cs="Arial"/>
          <w:kern w:val="0"/>
          <w:szCs w:val="24"/>
        </w:rPr>
      </w:pPr>
      <w:r w:rsidRPr="00E945C9">
        <w:rPr>
          <w:rFonts w:ascii="Arial" w:hAnsi="Arial" w:cs="Arial"/>
          <w:szCs w:val="24"/>
        </w:rPr>
        <w:t xml:space="preserve">BROŽ, M., </w:t>
      </w:r>
      <w:proofErr w:type="spellStart"/>
      <w:r w:rsidRPr="00E945C9">
        <w:rPr>
          <w:rFonts w:ascii="Arial" w:hAnsi="Arial" w:cs="Arial"/>
          <w:szCs w:val="24"/>
        </w:rPr>
        <w:t>Kinctová</w:t>
      </w:r>
      <w:proofErr w:type="spellEnd"/>
      <w:r w:rsidRPr="00E945C9">
        <w:rPr>
          <w:rFonts w:ascii="Arial" w:hAnsi="Arial" w:cs="Arial"/>
          <w:szCs w:val="24"/>
        </w:rPr>
        <w:t xml:space="preserve"> P. a Toušek L. ČLOVĚK V TÍSNI, o.p.s. </w:t>
      </w:r>
      <w:r w:rsidRPr="00E945C9">
        <w:rPr>
          <w:rFonts w:ascii="Arial" w:hAnsi="Arial" w:cs="Arial"/>
          <w:i/>
          <w:iCs/>
          <w:szCs w:val="24"/>
        </w:rPr>
        <w:t>KDO DRŽÍ ČERNÉHO PETRA: Sociální vyloučení v Liberci, Plzni a Ústí nad Labem</w:t>
      </w:r>
      <w:r w:rsidRPr="00E945C9">
        <w:rPr>
          <w:rFonts w:ascii="Arial" w:hAnsi="Arial" w:cs="Arial"/>
          <w:szCs w:val="24"/>
        </w:rPr>
        <w:t xml:space="preserve">. Člověk v tísni, o.p.s. Praha, 2007. ISBN </w:t>
      </w:r>
      <w:r w:rsidRPr="00E945C9">
        <w:rPr>
          <w:rFonts w:ascii="Arial" w:hAnsi="Arial" w:cs="Arial"/>
          <w:bCs/>
          <w:color w:val="323235"/>
          <w:kern w:val="0"/>
          <w:szCs w:val="24"/>
        </w:rPr>
        <w:t>978-80-86961-27-9</w:t>
      </w:r>
    </w:p>
    <w:sectPr w:rsidR="002B2FB1" w:rsidRPr="00E945C9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974" w:rsidRDefault="00A80974">
      <w:r>
        <w:separator/>
      </w:r>
    </w:p>
  </w:endnote>
  <w:endnote w:type="continuationSeparator" w:id="0">
    <w:p w:rsidR="00A80974" w:rsidRDefault="00A80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974" w:rsidRDefault="00A80974">
      <w:r>
        <w:separator/>
      </w:r>
    </w:p>
  </w:footnote>
  <w:footnote w:type="continuationSeparator" w:id="0">
    <w:p w:rsidR="00A80974" w:rsidRDefault="00A809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573CD8"/>
    <w:multiLevelType w:val="multilevel"/>
    <w:tmpl w:val="E0CEC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7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20"/>
  </w:num>
  <w:num w:numId="15">
    <w:abstractNumId w:val="21"/>
  </w:num>
  <w:num w:numId="16">
    <w:abstractNumId w:val="15"/>
  </w:num>
  <w:num w:numId="17">
    <w:abstractNumId w:val="18"/>
  </w:num>
  <w:num w:numId="18">
    <w:abstractNumId w:val="14"/>
  </w:num>
  <w:num w:numId="19">
    <w:abstractNumId w:val="19"/>
  </w:num>
  <w:num w:numId="20">
    <w:abstractNumId w:val="8"/>
  </w:num>
  <w:num w:numId="21">
    <w:abstractNumId w:val="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04079"/>
    <w:rsid w:val="00111425"/>
    <w:rsid w:val="001339D1"/>
    <w:rsid w:val="0014178E"/>
    <w:rsid w:val="00145E3E"/>
    <w:rsid w:val="001809EA"/>
    <w:rsid w:val="002275ED"/>
    <w:rsid w:val="00275A3D"/>
    <w:rsid w:val="002B2FB1"/>
    <w:rsid w:val="002C249E"/>
    <w:rsid w:val="002C3719"/>
    <w:rsid w:val="002D61F3"/>
    <w:rsid w:val="00307802"/>
    <w:rsid w:val="0031151A"/>
    <w:rsid w:val="00314CD6"/>
    <w:rsid w:val="0031683B"/>
    <w:rsid w:val="003358AE"/>
    <w:rsid w:val="00353555"/>
    <w:rsid w:val="00354C5A"/>
    <w:rsid w:val="003823F4"/>
    <w:rsid w:val="003846D5"/>
    <w:rsid w:val="003B1608"/>
    <w:rsid w:val="003D6815"/>
    <w:rsid w:val="00401AAD"/>
    <w:rsid w:val="00422271"/>
    <w:rsid w:val="00442605"/>
    <w:rsid w:val="00444BE0"/>
    <w:rsid w:val="00450458"/>
    <w:rsid w:val="0045480B"/>
    <w:rsid w:val="00474E71"/>
    <w:rsid w:val="0048777F"/>
    <w:rsid w:val="004F36C3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6169DE"/>
    <w:rsid w:val="006326A2"/>
    <w:rsid w:val="00663F3C"/>
    <w:rsid w:val="006860A6"/>
    <w:rsid w:val="006916CE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7E6A60"/>
    <w:rsid w:val="008E1472"/>
    <w:rsid w:val="00993B80"/>
    <w:rsid w:val="00997604"/>
    <w:rsid w:val="009A1074"/>
    <w:rsid w:val="009A1C62"/>
    <w:rsid w:val="009D0B3D"/>
    <w:rsid w:val="00A27B89"/>
    <w:rsid w:val="00A80974"/>
    <w:rsid w:val="00A90A8A"/>
    <w:rsid w:val="00AB2B59"/>
    <w:rsid w:val="00B12219"/>
    <w:rsid w:val="00B61582"/>
    <w:rsid w:val="00B84521"/>
    <w:rsid w:val="00BA3DC7"/>
    <w:rsid w:val="00C024F5"/>
    <w:rsid w:val="00C30DBE"/>
    <w:rsid w:val="00C7475A"/>
    <w:rsid w:val="00CB1248"/>
    <w:rsid w:val="00CB7418"/>
    <w:rsid w:val="00D1109C"/>
    <w:rsid w:val="00D13244"/>
    <w:rsid w:val="00D15B77"/>
    <w:rsid w:val="00D51CC3"/>
    <w:rsid w:val="00D53046"/>
    <w:rsid w:val="00D64A81"/>
    <w:rsid w:val="00D82068"/>
    <w:rsid w:val="00D84D70"/>
    <w:rsid w:val="00E04C38"/>
    <w:rsid w:val="00E309E5"/>
    <w:rsid w:val="00E83490"/>
    <w:rsid w:val="00E945C9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59003-1A63-4E9F-87C4-3A7F3CE58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4</Pages>
  <Words>1220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8408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2013-06-20T20:20:00Z</dcterms:created>
  <dcterms:modified xsi:type="dcterms:W3CDTF">2013-06-20T20:20:00Z</dcterms:modified>
</cp:coreProperties>
</file>