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22D" w:rsidRPr="009C72B4" w:rsidRDefault="00CD722D" w:rsidP="00CD722D">
      <w:pPr>
        <w:spacing w:after="0"/>
        <w:jc w:val="center"/>
        <w:rPr>
          <w:rFonts w:ascii="Bookman Old Style" w:hAnsi="Bookman Old Style"/>
          <w:b/>
        </w:rPr>
      </w:pPr>
      <w:r w:rsidRPr="009C72B4">
        <w:rPr>
          <w:rFonts w:ascii="Bookman Old Style" w:hAnsi="Bookman Old Style"/>
          <w:b/>
        </w:rPr>
        <w:t>Finanční gramotnost</w:t>
      </w:r>
    </w:p>
    <w:p w:rsidR="00CD722D" w:rsidRDefault="00CD722D" w:rsidP="00CD722D">
      <w:pPr>
        <w:spacing w:after="0"/>
        <w:jc w:val="center"/>
        <w:rPr>
          <w:rFonts w:ascii="Bookman Old Style" w:hAnsi="Bookman Old Style"/>
        </w:rPr>
      </w:pPr>
    </w:p>
    <w:p w:rsidR="0080266D" w:rsidRPr="00CD722D" w:rsidRDefault="00473205" w:rsidP="00CD722D">
      <w:pPr>
        <w:pStyle w:val="Odstavecseseznamem"/>
        <w:numPr>
          <w:ilvl w:val="0"/>
          <w:numId w:val="1"/>
        </w:numPr>
        <w:ind w:hanging="720"/>
        <w:rPr>
          <w:rFonts w:ascii="Bookman Old Style" w:eastAsiaTheme="minorEastAsia" w:hAnsi="Bookman Old Style"/>
        </w:rPr>
      </w:pPr>
      <w:r>
        <w:rPr>
          <w:rFonts w:ascii="Bookman Old Style" w:eastAsiaTheme="minorEastAsia" w:hAnsi="Bookman Old Style"/>
        </w:rPr>
        <w:t xml:space="preserve">Úrok </w:t>
      </w:r>
      <m:oMath>
        <m:r>
          <w:rPr>
            <w:rFonts w:ascii="Cambria Math" w:hAnsi="Cambria Math"/>
          </w:rPr>
          <m:t>60000∙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0,65</m:t>
            </m:r>
          </m:num>
          <m:den>
            <m:r>
              <w:rPr>
                <w:rFonts w:ascii="Cambria Math" w:hAnsi="Cambria Math"/>
              </w:rPr>
              <m:t>100</m:t>
            </m:r>
          </m:den>
        </m:f>
        <m:r>
          <w:rPr>
            <w:rFonts w:ascii="Cambria Math" w:hAnsi="Cambria Math"/>
          </w:rPr>
          <m:t>=390 Kč</m:t>
        </m:r>
      </m:oMath>
    </w:p>
    <w:p w:rsidR="00CD722D" w:rsidRPr="00CD722D" w:rsidRDefault="00473205" w:rsidP="00841844">
      <w:pPr>
        <w:ind w:firstLine="709"/>
        <w:rPr>
          <w:rFonts w:ascii="Bookman Old Style" w:eastAsiaTheme="minorEastAsia" w:hAnsi="Bookman Old Style"/>
        </w:rPr>
      </w:pPr>
      <w:r>
        <w:rPr>
          <w:rFonts w:ascii="Bookman Old Style" w:eastAsiaTheme="minorEastAsia" w:hAnsi="Bookman Old Style"/>
        </w:rPr>
        <w:t xml:space="preserve">Čistý zisk </w:t>
      </w:r>
      <m:oMath>
        <m:r>
          <w:rPr>
            <w:rFonts w:ascii="Cambria Math" w:eastAsiaTheme="minorEastAsia" w:hAnsi="Cambria Math"/>
          </w:rPr>
          <m:t>390∙0,85=331,5 Kč</m:t>
        </m:r>
      </m:oMath>
    </w:p>
    <w:p w:rsidR="00CD722D" w:rsidRDefault="00473205" w:rsidP="00841844">
      <w:pPr>
        <w:ind w:firstLine="709"/>
        <w:rPr>
          <w:rFonts w:ascii="Bookman Old Style" w:eastAsiaTheme="minorEastAsia" w:hAnsi="Bookman Old Style"/>
        </w:rPr>
      </w:pPr>
      <w:r>
        <w:rPr>
          <w:rFonts w:ascii="Bookman Old Style" w:eastAsiaTheme="minorEastAsia" w:hAnsi="Bookman Old Style"/>
        </w:rPr>
        <w:t xml:space="preserve">Vyplacená částka </w:t>
      </w:r>
      <m:oMath>
        <m:r>
          <w:rPr>
            <w:rFonts w:ascii="Cambria Math" w:eastAsiaTheme="minorEastAsia" w:hAnsi="Cambria Math"/>
          </w:rPr>
          <m:t>60000+331,5=60331,5≅60 331 Kč</m:t>
        </m:r>
      </m:oMath>
    </w:p>
    <w:p w:rsidR="00473205" w:rsidRDefault="00473205" w:rsidP="00CD722D">
      <w:pPr>
        <w:rPr>
          <w:rFonts w:ascii="Bookman Old Style" w:eastAsiaTheme="minorEastAsia" w:hAnsi="Bookman Old Style"/>
        </w:rPr>
      </w:pPr>
    </w:p>
    <w:p w:rsidR="00473205" w:rsidRPr="00841844" w:rsidRDefault="00841844" w:rsidP="00473205">
      <w:pPr>
        <w:pStyle w:val="Odstavecseseznamem"/>
        <w:numPr>
          <w:ilvl w:val="0"/>
          <w:numId w:val="1"/>
        </w:numPr>
        <w:ind w:hanging="720"/>
        <w:rPr>
          <w:rFonts w:ascii="Bookman Old Style" w:eastAsiaTheme="minorEastAsia" w:hAnsi="Bookman Old Style"/>
        </w:rPr>
      </w:pPr>
      <w:r>
        <w:rPr>
          <w:rFonts w:ascii="Bookman Old Style" w:eastAsiaTheme="minorEastAsia" w:hAnsi="Bookman Old Style"/>
        </w:rPr>
        <w:t>Doba 22+30+30+30+15=127 dní</w:t>
      </w:r>
    </w:p>
    <w:p w:rsidR="00841844" w:rsidRDefault="00841844" w:rsidP="00841844">
      <w:pPr>
        <w:ind w:left="709"/>
        <w:rPr>
          <w:rFonts w:ascii="Bookman Old Style" w:eastAsiaTheme="minorEastAsia" w:hAnsi="Bookman Old Style"/>
        </w:rPr>
      </w:pPr>
      <w:r w:rsidRPr="00841844">
        <w:rPr>
          <w:rFonts w:ascii="Bookman Old Style" w:eastAsiaTheme="minorEastAsia" w:hAnsi="Bookman Old Style"/>
        </w:rPr>
        <w:t xml:space="preserve">Úrok </w:t>
      </w:r>
      <m:oMath>
        <m:r>
          <w:rPr>
            <w:rFonts w:ascii="Cambria Math" w:hAnsi="Cambria Math"/>
          </w:rPr>
          <m:t>40000∙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0,6</m:t>
            </m:r>
          </m:num>
          <m:den>
            <m:r>
              <w:rPr>
                <w:rFonts w:ascii="Cambria Math" w:hAnsi="Cambria Math"/>
              </w:rPr>
              <m:t>100</m:t>
            </m:r>
          </m:den>
        </m:f>
        <m:r>
          <w:rPr>
            <w:rFonts w:ascii="Cambria Math" w:hAnsi="Cambria Math"/>
          </w:rPr>
          <m:t>=240 Kč</m:t>
        </m:r>
      </m:oMath>
      <w:r>
        <w:rPr>
          <w:rFonts w:ascii="Bookman Old Style" w:eastAsiaTheme="minorEastAsia" w:hAnsi="Bookman Old Style"/>
        </w:rPr>
        <w:t xml:space="preserve"> za rok.</w:t>
      </w:r>
    </w:p>
    <w:p w:rsidR="00841844" w:rsidRDefault="00841844" w:rsidP="00841844">
      <w:pPr>
        <w:ind w:left="709"/>
        <w:rPr>
          <w:rFonts w:ascii="Bookman Old Style" w:eastAsiaTheme="minorEastAsia" w:hAnsi="Bookman Old Style"/>
        </w:rPr>
      </w:pPr>
      <w:r>
        <w:rPr>
          <w:rFonts w:ascii="Bookman Old Style" w:eastAsiaTheme="minorEastAsia" w:hAnsi="Bookman Old Style"/>
        </w:rPr>
        <w:t xml:space="preserve">Za dobu úročení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127</m:t>
            </m:r>
          </m:num>
          <m:den>
            <m:r>
              <w:rPr>
                <w:rFonts w:ascii="Cambria Math" w:eastAsiaTheme="minorEastAsia" w:hAnsi="Cambria Math"/>
              </w:rPr>
              <m:t>360</m:t>
            </m:r>
          </m:den>
        </m:f>
        <m:r>
          <w:rPr>
            <w:rFonts w:ascii="Cambria Math" w:eastAsiaTheme="minorEastAsia" w:hAnsi="Cambria Math"/>
          </w:rPr>
          <m:t>∙240=84,666 Kč</m:t>
        </m:r>
      </m:oMath>
    </w:p>
    <w:p w:rsidR="00CD1F5D" w:rsidRDefault="00CD1F5D" w:rsidP="00841844">
      <w:pPr>
        <w:ind w:left="709"/>
        <w:rPr>
          <w:rFonts w:ascii="Bookman Old Style" w:eastAsiaTheme="minorEastAsia" w:hAnsi="Bookman Old Style"/>
        </w:rPr>
      </w:pPr>
      <w:r>
        <w:rPr>
          <w:rFonts w:ascii="Bookman Old Style" w:eastAsiaTheme="minorEastAsia" w:hAnsi="Bookman Old Style"/>
        </w:rPr>
        <w:t xml:space="preserve">Úrok po zdanění </w:t>
      </w:r>
      <m:oMath>
        <m:r>
          <w:rPr>
            <w:rFonts w:ascii="Cambria Math" w:eastAsiaTheme="minorEastAsia" w:hAnsi="Cambria Math"/>
          </w:rPr>
          <m:t>84,666 ∙0,85 =71,9661</m:t>
        </m:r>
      </m:oMath>
    </w:p>
    <w:p w:rsidR="00841844" w:rsidRPr="00841844" w:rsidRDefault="00841844" w:rsidP="00841844">
      <w:pPr>
        <w:ind w:left="709"/>
        <w:rPr>
          <w:rFonts w:ascii="Bookman Old Style" w:eastAsiaTheme="minorEastAsia" w:hAnsi="Bookman Old Style"/>
        </w:rPr>
      </w:pPr>
      <w:r>
        <w:rPr>
          <w:rFonts w:ascii="Bookman Old Style" w:eastAsiaTheme="minorEastAsia" w:hAnsi="Bookman Old Style"/>
        </w:rPr>
        <w:t xml:space="preserve">Vyplacená částka </w:t>
      </w:r>
      <m:oMath>
        <m:r>
          <w:rPr>
            <w:rFonts w:ascii="Cambria Math" w:eastAsiaTheme="minorEastAsia" w:hAnsi="Cambria Math"/>
          </w:rPr>
          <m:t>40000+71,9661=40071,9661≅40 072 Kč</m:t>
        </m:r>
      </m:oMath>
    </w:p>
    <w:p w:rsidR="00841844" w:rsidRDefault="00841844" w:rsidP="00294271">
      <w:pPr>
        <w:rPr>
          <w:rFonts w:ascii="Bookman Old Style" w:eastAsiaTheme="minorEastAsia" w:hAnsi="Bookman Old Style"/>
        </w:rPr>
      </w:pPr>
    </w:p>
    <w:p w:rsidR="00294271" w:rsidRPr="00961FC0" w:rsidRDefault="00294271" w:rsidP="001B64CF">
      <w:pPr>
        <w:pStyle w:val="Odstavecseseznamem"/>
        <w:numPr>
          <w:ilvl w:val="0"/>
          <w:numId w:val="1"/>
        </w:numPr>
        <w:spacing w:after="0" w:line="360" w:lineRule="auto"/>
        <w:ind w:hanging="720"/>
        <w:rPr>
          <w:rFonts w:ascii="Bookman Old Style" w:eastAsiaTheme="minorEastAsia" w:hAnsi="Bookman Old Style"/>
        </w:rPr>
      </w:pPr>
      <w:r w:rsidRPr="00961FC0">
        <w:rPr>
          <w:rFonts w:ascii="Bookman Old Style" w:eastAsiaTheme="minorEastAsia" w:hAnsi="Bookman Old Style"/>
        </w:rPr>
        <w:t>Inflace: nárůst všeobecné cenové hladi</w:t>
      </w:r>
      <w:r w:rsidR="002253A3">
        <w:rPr>
          <w:rFonts w:ascii="Bookman Old Style" w:eastAsiaTheme="minorEastAsia" w:hAnsi="Bookman Old Style"/>
        </w:rPr>
        <w:t>ny zboží a služeb v ekonomice v </w:t>
      </w:r>
      <w:r w:rsidRPr="00961FC0">
        <w:rPr>
          <w:rFonts w:ascii="Bookman Old Style" w:eastAsiaTheme="minorEastAsia" w:hAnsi="Bookman Old Style"/>
        </w:rPr>
        <w:t>určitém časovém období.</w:t>
      </w:r>
    </w:p>
    <w:p w:rsidR="00C412EC" w:rsidRPr="00961FC0" w:rsidRDefault="009C72B4" w:rsidP="001B64CF">
      <w:pPr>
        <w:pStyle w:val="Odstavecseseznamem"/>
        <w:numPr>
          <w:ilvl w:val="0"/>
          <w:numId w:val="1"/>
        </w:numPr>
        <w:spacing w:after="0" w:line="360" w:lineRule="auto"/>
        <w:ind w:hanging="720"/>
        <w:rPr>
          <w:rFonts w:ascii="Bookman Old Style" w:eastAsiaTheme="minorEastAsia" w:hAnsi="Bookman Old Style"/>
        </w:rPr>
      </w:pPr>
      <w:r w:rsidRPr="00961FC0">
        <w:rPr>
          <w:rFonts w:ascii="Bookman Old Style" w:eastAsiaTheme="minorEastAsia" w:hAnsi="Bookman Old Style"/>
        </w:rPr>
        <w:t xml:space="preserve">Zkratka p. a. vychází z latinského per </w:t>
      </w:r>
      <w:proofErr w:type="spellStart"/>
      <w:r w:rsidRPr="00961FC0">
        <w:rPr>
          <w:rFonts w:ascii="Bookman Old Style" w:eastAsiaTheme="minorEastAsia" w:hAnsi="Bookman Old Style"/>
        </w:rPr>
        <w:t>annum</w:t>
      </w:r>
      <w:proofErr w:type="spellEnd"/>
      <w:r w:rsidRPr="00961FC0">
        <w:rPr>
          <w:rFonts w:ascii="Bookman Old Style" w:eastAsiaTheme="minorEastAsia" w:hAnsi="Bookman Old Style"/>
        </w:rPr>
        <w:t xml:space="preserve"> (za rok)</w:t>
      </w:r>
    </w:p>
    <w:p w:rsidR="00C412EC" w:rsidRPr="00961FC0" w:rsidRDefault="00CF3E76" w:rsidP="001B64CF">
      <w:pPr>
        <w:pStyle w:val="Odstavecseseznamem"/>
        <w:numPr>
          <w:ilvl w:val="0"/>
          <w:numId w:val="1"/>
        </w:numPr>
        <w:spacing w:after="0" w:line="360" w:lineRule="auto"/>
        <w:ind w:hanging="720"/>
        <w:rPr>
          <w:rFonts w:ascii="Bookman Old Style" w:eastAsiaTheme="minorEastAsia" w:hAnsi="Bookman Old Style"/>
        </w:rPr>
      </w:pPr>
      <w:r w:rsidRPr="00961FC0">
        <w:rPr>
          <w:rFonts w:ascii="Bookman Old Style" w:eastAsiaTheme="minorEastAsia" w:hAnsi="Bookman Old Style"/>
        </w:rPr>
        <w:t>Ú</w:t>
      </w:r>
      <w:r w:rsidR="009C72B4" w:rsidRPr="00961FC0">
        <w:rPr>
          <w:rFonts w:ascii="Bookman Old Style" w:eastAsiaTheme="minorEastAsia" w:hAnsi="Bookman Old Style"/>
        </w:rPr>
        <w:t xml:space="preserve">roky na konci každého úrokovacího období </w:t>
      </w:r>
      <w:r w:rsidRPr="00961FC0">
        <w:rPr>
          <w:rFonts w:ascii="Bookman Old Style" w:eastAsiaTheme="minorEastAsia" w:hAnsi="Bookman Old Style"/>
        </w:rPr>
        <w:t xml:space="preserve">jsou </w:t>
      </w:r>
      <w:r w:rsidR="009C72B4" w:rsidRPr="00961FC0">
        <w:rPr>
          <w:rFonts w:ascii="Bookman Old Style" w:eastAsiaTheme="minorEastAsia" w:hAnsi="Bookman Old Style"/>
        </w:rPr>
        <w:t>připisovány k témuž účtu. Tzn.</w:t>
      </w:r>
      <w:r w:rsidR="002673FD" w:rsidRPr="00961FC0">
        <w:rPr>
          <w:rFonts w:ascii="Bookman Old Style" w:eastAsiaTheme="minorEastAsia" w:hAnsi="Bookman Old Style"/>
        </w:rPr>
        <w:t>,</w:t>
      </w:r>
      <w:r w:rsidR="009C72B4" w:rsidRPr="00961FC0">
        <w:rPr>
          <w:rFonts w:ascii="Bookman Old Style" w:eastAsiaTheme="minorEastAsia" w:hAnsi="Bookman Old Style"/>
        </w:rPr>
        <w:t xml:space="preserve"> že se dále úročí společně s vloženým kapitálem.</w:t>
      </w:r>
    </w:p>
    <w:p w:rsidR="00CF3E76" w:rsidRPr="00961FC0" w:rsidRDefault="00CF3E76" w:rsidP="001B64CF">
      <w:pPr>
        <w:pStyle w:val="Odstavecseseznamem"/>
        <w:numPr>
          <w:ilvl w:val="0"/>
          <w:numId w:val="1"/>
        </w:numPr>
        <w:spacing w:after="0" w:line="360" w:lineRule="auto"/>
        <w:ind w:hanging="720"/>
        <w:rPr>
          <w:rFonts w:ascii="Bookman Old Style" w:eastAsiaTheme="minorEastAsia" w:hAnsi="Bookman Old Style"/>
        </w:rPr>
      </w:pPr>
      <w:r w:rsidRPr="00961FC0">
        <w:rPr>
          <w:rFonts w:ascii="Bookman Old Style" w:eastAsiaTheme="minorEastAsia" w:hAnsi="Bookman Old Style"/>
        </w:rPr>
        <w:t>Úmor: pravidelná splátka dluhu.</w:t>
      </w:r>
    </w:p>
    <w:p w:rsidR="002673FD" w:rsidRPr="00961FC0" w:rsidRDefault="00BF3AAE" w:rsidP="001B64CF">
      <w:pPr>
        <w:pStyle w:val="Odstavecseseznamem"/>
        <w:numPr>
          <w:ilvl w:val="0"/>
          <w:numId w:val="1"/>
        </w:numPr>
        <w:spacing w:after="0" w:line="360" w:lineRule="auto"/>
        <w:ind w:hanging="720"/>
        <w:rPr>
          <w:rFonts w:ascii="Bookman Old Style" w:eastAsiaTheme="minorEastAsia" w:hAnsi="Bookman Old Style"/>
        </w:rPr>
      </w:pPr>
      <w:r w:rsidRPr="00961FC0">
        <w:rPr>
          <w:rFonts w:ascii="Bookman Old Style" w:eastAsiaTheme="minorEastAsia" w:hAnsi="Bookman Old Style"/>
        </w:rPr>
        <w:t>R</w:t>
      </w:r>
      <w:r w:rsidR="00172FCA" w:rsidRPr="00961FC0">
        <w:rPr>
          <w:rFonts w:ascii="Bookman Old Style" w:eastAsiaTheme="minorEastAsia" w:hAnsi="Bookman Old Style"/>
        </w:rPr>
        <w:t xml:space="preserve">oční procentní sazba </w:t>
      </w:r>
      <w:r w:rsidRPr="00961FC0">
        <w:rPr>
          <w:rFonts w:ascii="Bookman Old Style" w:eastAsiaTheme="minorEastAsia" w:hAnsi="Bookman Old Style"/>
        </w:rPr>
        <w:t>nákladů…</w:t>
      </w:r>
    </w:p>
    <w:p w:rsidR="00BF3AAE" w:rsidRPr="00961FC0" w:rsidRDefault="00BF3AAE" w:rsidP="001B64CF">
      <w:pPr>
        <w:pStyle w:val="Odstavecseseznamem"/>
        <w:numPr>
          <w:ilvl w:val="0"/>
          <w:numId w:val="1"/>
        </w:numPr>
        <w:spacing w:after="0" w:line="360" w:lineRule="auto"/>
        <w:ind w:hanging="720"/>
        <w:rPr>
          <w:rFonts w:ascii="Bookman Old Style" w:eastAsiaTheme="minorEastAsia" w:hAnsi="Bookman Old Style"/>
        </w:rPr>
      </w:pPr>
      <w:r w:rsidRPr="00961FC0">
        <w:rPr>
          <w:rFonts w:ascii="Bookman Old Style" w:eastAsiaTheme="minorEastAsia" w:hAnsi="Bookman Old Style"/>
        </w:rPr>
        <w:t>Akontace: nultá splátka …</w:t>
      </w:r>
    </w:p>
    <w:p w:rsidR="00423068" w:rsidRPr="00961FC0" w:rsidRDefault="00CB5D21" w:rsidP="001B64CF">
      <w:pPr>
        <w:pStyle w:val="Odstavecseseznamem"/>
        <w:numPr>
          <w:ilvl w:val="0"/>
          <w:numId w:val="1"/>
        </w:numPr>
        <w:spacing w:after="0" w:line="360" w:lineRule="auto"/>
        <w:ind w:hanging="720"/>
        <w:rPr>
          <w:rFonts w:ascii="Bookman Old Style" w:eastAsiaTheme="minorEastAsia" w:hAnsi="Bookman Old Style"/>
        </w:rPr>
      </w:pPr>
      <w:r w:rsidRPr="00961FC0">
        <w:rPr>
          <w:rFonts w:ascii="Bookman Old Style" w:eastAsiaTheme="minorEastAsia" w:hAnsi="Bookman Old Style"/>
        </w:rPr>
        <w:t>Banky nabízí: h</w:t>
      </w:r>
      <w:r w:rsidR="009C72B4" w:rsidRPr="00961FC0">
        <w:rPr>
          <w:rFonts w:ascii="Bookman Old Style" w:eastAsiaTheme="minorEastAsia" w:hAnsi="Bookman Old Style"/>
        </w:rPr>
        <w:t>ypotéky</w:t>
      </w:r>
      <w:r w:rsidRPr="00961FC0">
        <w:rPr>
          <w:rFonts w:ascii="Bookman Old Style" w:eastAsiaTheme="minorEastAsia" w:hAnsi="Bookman Old Style"/>
        </w:rPr>
        <w:t>, k</w:t>
      </w:r>
      <w:r w:rsidR="009C72B4" w:rsidRPr="00961FC0">
        <w:rPr>
          <w:rFonts w:ascii="Bookman Old Style" w:eastAsiaTheme="minorEastAsia" w:hAnsi="Bookman Old Style"/>
        </w:rPr>
        <w:t>reditní karty</w:t>
      </w:r>
      <w:r w:rsidRPr="00961FC0">
        <w:rPr>
          <w:rFonts w:ascii="Bookman Old Style" w:eastAsiaTheme="minorEastAsia" w:hAnsi="Bookman Old Style"/>
        </w:rPr>
        <w:t>, k</w:t>
      </w:r>
      <w:r w:rsidR="009C72B4" w:rsidRPr="00961FC0">
        <w:rPr>
          <w:rFonts w:ascii="Bookman Old Style" w:eastAsiaTheme="minorEastAsia" w:hAnsi="Bookman Old Style"/>
        </w:rPr>
        <w:t>onta</w:t>
      </w:r>
      <w:r w:rsidRPr="00961FC0">
        <w:rPr>
          <w:rFonts w:ascii="Bookman Old Style" w:eastAsiaTheme="minorEastAsia" w:hAnsi="Bookman Old Style"/>
        </w:rPr>
        <w:t xml:space="preserve">, </w:t>
      </w:r>
      <w:r w:rsidR="00423068" w:rsidRPr="00961FC0">
        <w:rPr>
          <w:rFonts w:ascii="Bookman Old Style" w:eastAsiaTheme="minorEastAsia" w:hAnsi="Bookman Old Style"/>
        </w:rPr>
        <w:t>spořicí</w:t>
      </w:r>
      <w:r w:rsidR="009C72B4" w:rsidRPr="00961FC0">
        <w:rPr>
          <w:rFonts w:ascii="Bookman Old Style" w:eastAsiaTheme="minorEastAsia" w:hAnsi="Bookman Old Style"/>
        </w:rPr>
        <w:t xml:space="preserve"> účty</w:t>
      </w:r>
      <w:r w:rsidRPr="00961FC0">
        <w:rPr>
          <w:rFonts w:ascii="Bookman Old Style" w:eastAsiaTheme="minorEastAsia" w:hAnsi="Bookman Old Style"/>
        </w:rPr>
        <w:t>, s</w:t>
      </w:r>
      <w:r w:rsidR="009C72B4" w:rsidRPr="00961FC0">
        <w:rPr>
          <w:rFonts w:ascii="Bookman Old Style" w:eastAsiaTheme="minorEastAsia" w:hAnsi="Bookman Old Style"/>
        </w:rPr>
        <w:t>potřebitelské úvěry</w:t>
      </w:r>
      <w:r w:rsidRPr="00961FC0">
        <w:rPr>
          <w:rFonts w:ascii="Bookman Old Style" w:eastAsiaTheme="minorEastAsia" w:hAnsi="Bookman Old Style"/>
        </w:rPr>
        <w:t>, t</w:t>
      </w:r>
      <w:r w:rsidR="009C72B4" w:rsidRPr="00961FC0">
        <w:rPr>
          <w:rFonts w:ascii="Bookman Old Style" w:eastAsiaTheme="minorEastAsia" w:hAnsi="Bookman Old Style"/>
        </w:rPr>
        <w:t>ermínované vklady</w:t>
      </w:r>
      <w:r w:rsidRPr="00961FC0">
        <w:rPr>
          <w:rFonts w:ascii="Bookman Old Style" w:eastAsiaTheme="minorEastAsia" w:hAnsi="Bookman Old Style"/>
        </w:rPr>
        <w:t>, j</w:t>
      </w:r>
      <w:r w:rsidR="009C72B4" w:rsidRPr="00961FC0">
        <w:rPr>
          <w:rFonts w:ascii="Bookman Old Style" w:eastAsiaTheme="minorEastAsia" w:hAnsi="Bookman Old Style"/>
        </w:rPr>
        <w:t>istotní účty</w:t>
      </w:r>
      <w:r w:rsidRPr="00961FC0">
        <w:rPr>
          <w:rFonts w:ascii="Bookman Old Style" w:eastAsiaTheme="minorEastAsia" w:hAnsi="Bookman Old Style"/>
        </w:rPr>
        <w:t>, v</w:t>
      </w:r>
      <w:r w:rsidR="009C72B4" w:rsidRPr="00961FC0">
        <w:rPr>
          <w:rFonts w:ascii="Bookman Old Style" w:eastAsiaTheme="minorEastAsia" w:hAnsi="Bookman Old Style"/>
        </w:rPr>
        <w:t>kladní knížky</w:t>
      </w:r>
      <w:r w:rsidRPr="00961FC0">
        <w:rPr>
          <w:rFonts w:ascii="Bookman Old Style" w:eastAsiaTheme="minorEastAsia" w:hAnsi="Bookman Old Style"/>
        </w:rPr>
        <w:t>, s</w:t>
      </w:r>
      <w:r w:rsidR="009C72B4" w:rsidRPr="00961FC0">
        <w:rPr>
          <w:rFonts w:ascii="Bookman Old Style" w:eastAsiaTheme="minorEastAsia" w:hAnsi="Bookman Old Style"/>
        </w:rPr>
        <w:t>tavební spoření</w:t>
      </w:r>
    </w:p>
    <w:p w:rsidR="00C412EC" w:rsidRPr="00961FC0" w:rsidRDefault="00423068" w:rsidP="001B64CF">
      <w:pPr>
        <w:pStyle w:val="Odstavecseseznamem"/>
        <w:numPr>
          <w:ilvl w:val="0"/>
          <w:numId w:val="1"/>
        </w:numPr>
        <w:spacing w:after="0" w:line="360" w:lineRule="auto"/>
        <w:ind w:hanging="720"/>
        <w:rPr>
          <w:rFonts w:ascii="Bookman Old Style" w:eastAsiaTheme="minorEastAsia" w:hAnsi="Bookman Old Style"/>
        </w:rPr>
      </w:pPr>
      <w:r w:rsidRPr="00961FC0">
        <w:rPr>
          <w:rFonts w:ascii="Bookman Old Style" w:eastAsiaTheme="minorEastAsia" w:hAnsi="Bookman Old Style"/>
        </w:rPr>
        <w:t>Typy: d</w:t>
      </w:r>
      <w:r w:rsidR="009C72B4" w:rsidRPr="00961FC0">
        <w:rPr>
          <w:rFonts w:ascii="Bookman Old Style" w:eastAsiaTheme="minorEastAsia" w:hAnsi="Bookman Old Style"/>
        </w:rPr>
        <w:t>oživotní starobní důchod</w:t>
      </w:r>
      <w:r w:rsidRPr="00961FC0">
        <w:rPr>
          <w:rFonts w:ascii="Bookman Old Style" w:eastAsiaTheme="minorEastAsia" w:hAnsi="Bookman Old Style"/>
        </w:rPr>
        <w:t>, d</w:t>
      </w:r>
      <w:r w:rsidR="009C72B4" w:rsidRPr="00961FC0">
        <w:rPr>
          <w:rFonts w:ascii="Bookman Old Style" w:eastAsiaTheme="minorEastAsia" w:hAnsi="Bookman Old Style"/>
        </w:rPr>
        <w:t>oživotní starobní důchod se sjednanou výplatou pozůstalostního důchodu po dobu 3 let ve stejné výši</w:t>
      </w:r>
      <w:r w:rsidRPr="00961FC0">
        <w:rPr>
          <w:rFonts w:ascii="Bookman Old Style" w:eastAsiaTheme="minorEastAsia" w:hAnsi="Bookman Old Style"/>
        </w:rPr>
        <w:t>, s</w:t>
      </w:r>
      <w:r w:rsidR="009C72B4" w:rsidRPr="00961FC0">
        <w:rPr>
          <w:rFonts w:ascii="Bookman Old Style" w:eastAsiaTheme="minorEastAsia" w:hAnsi="Bookman Old Style"/>
        </w:rPr>
        <w:t>tarobní důchod na dobu 20 let</w:t>
      </w:r>
    </w:p>
    <w:p w:rsidR="00961FC0" w:rsidRPr="00961FC0" w:rsidRDefault="00961FC0" w:rsidP="001B64CF">
      <w:pPr>
        <w:pStyle w:val="Odstavecseseznamem"/>
        <w:numPr>
          <w:ilvl w:val="0"/>
          <w:numId w:val="1"/>
        </w:numPr>
        <w:spacing w:after="0" w:line="360" w:lineRule="auto"/>
        <w:ind w:hanging="720"/>
        <w:rPr>
          <w:rFonts w:ascii="Bookman Old Style" w:eastAsiaTheme="minorEastAsia" w:hAnsi="Bookman Old Style"/>
        </w:rPr>
      </w:pPr>
      <w:r w:rsidRPr="00961FC0">
        <w:rPr>
          <w:rFonts w:ascii="Bookman Old Style" w:eastAsiaTheme="minorEastAsia" w:hAnsi="Bookman Old Style"/>
        </w:rPr>
        <w:t>Debetní karta umožňuje čerpat peníze pouze do výše zůstatku na účtu, kreditní umožňuje si peníze půjčit.</w:t>
      </w:r>
    </w:p>
    <w:p w:rsidR="00423068" w:rsidRPr="00CB5D21" w:rsidRDefault="00423068" w:rsidP="00961FC0">
      <w:pPr>
        <w:tabs>
          <w:tab w:val="num" w:pos="720"/>
        </w:tabs>
        <w:ind w:hanging="720"/>
        <w:rPr>
          <w:rFonts w:ascii="Bookman Old Style" w:eastAsiaTheme="minorEastAsia" w:hAnsi="Bookman Old Style"/>
        </w:rPr>
      </w:pPr>
    </w:p>
    <w:p w:rsidR="00D25A63" w:rsidRDefault="00D25A63" w:rsidP="00961FC0">
      <w:pPr>
        <w:spacing w:after="0"/>
        <w:ind w:hanging="720"/>
        <w:rPr>
          <w:rFonts w:ascii="Bookman Old Style" w:eastAsiaTheme="minorEastAsia" w:hAnsi="Bookman Old Style"/>
        </w:rPr>
      </w:pPr>
    </w:p>
    <w:sectPr w:rsidR="00D25A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004" w:rsidRDefault="00DF6004" w:rsidP="00355167">
      <w:pPr>
        <w:spacing w:after="0" w:line="240" w:lineRule="auto"/>
      </w:pPr>
      <w:r>
        <w:separator/>
      </w:r>
    </w:p>
  </w:endnote>
  <w:endnote w:type="continuationSeparator" w:id="0">
    <w:p w:rsidR="00DF6004" w:rsidRDefault="00DF6004" w:rsidP="00355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167" w:rsidRDefault="0035516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167" w:rsidRPr="00355167" w:rsidRDefault="00355167" w:rsidP="00355167">
    <w:pPr>
      <w:pStyle w:val="Zpat"/>
    </w:pPr>
    <w:r>
      <w:rPr>
        <w:noProof/>
        <w:lang w:eastAsia="cs-CZ"/>
      </w:rPr>
      <w:drawing>
        <wp:inline distT="0" distB="0" distL="0" distR="0" wp14:anchorId="155BC3EF" wp14:editId="7C7853F4">
          <wp:extent cx="5760720" cy="1258154"/>
          <wp:effectExtent l="0" t="0" r="0" b="0"/>
          <wp:docPr id="205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58154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167" w:rsidRDefault="0035516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004" w:rsidRDefault="00DF6004" w:rsidP="00355167">
      <w:pPr>
        <w:spacing w:after="0" w:line="240" w:lineRule="auto"/>
      </w:pPr>
      <w:r>
        <w:separator/>
      </w:r>
    </w:p>
  </w:footnote>
  <w:footnote w:type="continuationSeparator" w:id="0">
    <w:p w:rsidR="00DF6004" w:rsidRDefault="00DF6004" w:rsidP="00355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167" w:rsidRDefault="0035516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167" w:rsidRDefault="00355167">
    <w:pPr>
      <w:pStyle w:val="Zhlav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167" w:rsidRDefault="0035516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55612"/>
    <w:multiLevelType w:val="hybridMultilevel"/>
    <w:tmpl w:val="31FCE858"/>
    <w:lvl w:ilvl="0" w:tplc="942A9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C613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4C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CA2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9200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0456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C0BF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166A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FEF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5954947"/>
    <w:multiLevelType w:val="hybridMultilevel"/>
    <w:tmpl w:val="F912D3F4"/>
    <w:lvl w:ilvl="0" w:tplc="CA48A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C20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D6E3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465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A80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E6D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101B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E61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5A68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3CA5C4A"/>
    <w:multiLevelType w:val="hybridMultilevel"/>
    <w:tmpl w:val="7234A07A"/>
    <w:lvl w:ilvl="0" w:tplc="5900D6A0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D12359"/>
    <w:multiLevelType w:val="hybridMultilevel"/>
    <w:tmpl w:val="ACF49622"/>
    <w:lvl w:ilvl="0" w:tplc="942A9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E567D7"/>
    <w:multiLevelType w:val="hybridMultilevel"/>
    <w:tmpl w:val="C986B4C0"/>
    <w:lvl w:ilvl="0" w:tplc="A9187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86A8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FE61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2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AC2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C4F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D406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62DF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62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7459386C"/>
    <w:multiLevelType w:val="hybridMultilevel"/>
    <w:tmpl w:val="A40A995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CE08C7"/>
    <w:multiLevelType w:val="hybridMultilevel"/>
    <w:tmpl w:val="F10CE314"/>
    <w:lvl w:ilvl="0" w:tplc="19262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8076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50C9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2AA2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E4B4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54E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4AE0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60A7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943F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22D"/>
    <w:rsid w:val="000861CE"/>
    <w:rsid w:val="00172FCA"/>
    <w:rsid w:val="001B64CF"/>
    <w:rsid w:val="002253A3"/>
    <w:rsid w:val="002673FD"/>
    <w:rsid w:val="00294271"/>
    <w:rsid w:val="00355167"/>
    <w:rsid w:val="00423068"/>
    <w:rsid w:val="00473205"/>
    <w:rsid w:val="0080266D"/>
    <w:rsid w:val="00841844"/>
    <w:rsid w:val="00961FC0"/>
    <w:rsid w:val="009C72B4"/>
    <w:rsid w:val="00B22183"/>
    <w:rsid w:val="00BB632E"/>
    <w:rsid w:val="00BF3AAE"/>
    <w:rsid w:val="00C412EC"/>
    <w:rsid w:val="00CB5D21"/>
    <w:rsid w:val="00CD1F5D"/>
    <w:rsid w:val="00CD722D"/>
    <w:rsid w:val="00CF3E76"/>
    <w:rsid w:val="00D25A63"/>
    <w:rsid w:val="00DF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D722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D722D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CD722D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D7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D722D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5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5167"/>
  </w:style>
  <w:style w:type="paragraph" w:styleId="Zpat">
    <w:name w:val="footer"/>
    <w:basedOn w:val="Normln"/>
    <w:link w:val="ZpatChar"/>
    <w:uiPriority w:val="99"/>
    <w:unhideWhenUsed/>
    <w:rsid w:val="00355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51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D722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D722D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CD722D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D7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D722D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5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5167"/>
  </w:style>
  <w:style w:type="paragraph" w:styleId="Zpat">
    <w:name w:val="footer"/>
    <w:basedOn w:val="Normln"/>
    <w:link w:val="ZpatChar"/>
    <w:uiPriority w:val="99"/>
    <w:unhideWhenUsed/>
    <w:rsid w:val="00355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51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1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69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13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06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952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193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92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17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27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69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5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11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965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033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3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144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52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72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56084-A037-4D9A-9D1F-562A78A0D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1</Pages>
  <Words>161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kantor</dc:creator>
  <cp:lastModifiedBy>Alena Stachová</cp:lastModifiedBy>
  <cp:revision>20</cp:revision>
  <dcterms:created xsi:type="dcterms:W3CDTF">2014-01-04T13:49:00Z</dcterms:created>
  <dcterms:modified xsi:type="dcterms:W3CDTF">2014-02-03T12:55:00Z</dcterms:modified>
</cp:coreProperties>
</file>