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D21" w:rsidRPr="00FA1FA5" w:rsidRDefault="009F1119" w:rsidP="00644D21">
      <w:pPr>
        <w:pStyle w:val="Bezmezer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9F1119" w:rsidRPr="000C558A" w:rsidTr="003E3D33">
        <w:tc>
          <w:tcPr>
            <w:tcW w:w="9212" w:type="dxa"/>
          </w:tcPr>
          <w:p w:rsidR="009F1119" w:rsidRPr="000C558A" w:rsidRDefault="009F1119" w:rsidP="003E3D33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9F1119" w:rsidRPr="000C558A" w:rsidRDefault="009F1119" w:rsidP="003E3D33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9F1119" w:rsidRPr="000C558A" w:rsidRDefault="009F1119" w:rsidP="003E3D3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9F1119" w:rsidRPr="000C558A" w:rsidTr="003E3D33">
        <w:trPr>
          <w:trHeight w:val="875"/>
        </w:trPr>
        <w:tc>
          <w:tcPr>
            <w:tcW w:w="9212" w:type="dxa"/>
            <w:vAlign w:val="center"/>
          </w:tcPr>
          <w:p w:rsidR="009F1119" w:rsidRPr="000C558A" w:rsidRDefault="009F1119" w:rsidP="003E3D3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4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1119" w:rsidRPr="000C558A" w:rsidTr="003E3D33">
        <w:tc>
          <w:tcPr>
            <w:tcW w:w="9212" w:type="dxa"/>
          </w:tcPr>
          <w:p w:rsidR="009F1119" w:rsidRPr="000C558A" w:rsidRDefault="009F1119" w:rsidP="003E3D3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192D33" w:rsidRDefault="00192D33" w:rsidP="00192D33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Číslo a název klíčové aktivity: </w:t>
      </w:r>
      <w:r>
        <w:rPr>
          <w:bCs/>
          <w:iCs/>
          <w:sz w:val="24"/>
          <w:szCs w:val="24"/>
        </w:rPr>
        <w:t xml:space="preserve">III/2 Inovace a zkvalitnění výuky prostřednictvím ICT </w:t>
      </w:r>
    </w:p>
    <w:p w:rsidR="00192D33" w:rsidRDefault="00192D33" w:rsidP="00192D33">
      <w:pPr>
        <w:pStyle w:val="Bezmezer"/>
        <w:ind w:left="3540" w:hanging="3540"/>
        <w:rPr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Číslo DUM: </w:t>
      </w:r>
      <w:r w:rsidRPr="00244685">
        <w:rPr>
          <w:color w:val="000000"/>
          <w:sz w:val="20"/>
          <w:szCs w:val="20"/>
        </w:rPr>
        <w:t>VY_32_INOVACE_32Igo1</w:t>
      </w:r>
    </w:p>
    <w:p w:rsidR="00644D21" w:rsidRPr="00FA1FA5" w:rsidRDefault="00192D33" w:rsidP="00192D33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244685">
        <w:rPr>
          <w:b/>
          <w:color w:val="000000"/>
          <w:sz w:val="24"/>
          <w:szCs w:val="24"/>
        </w:rPr>
        <w:t>Název DUM:</w:t>
      </w:r>
      <w:r w:rsidR="00DD7B45">
        <w:rPr>
          <w:b/>
          <w:color w:val="000000"/>
          <w:sz w:val="24"/>
          <w:szCs w:val="24"/>
        </w:rPr>
        <w:t xml:space="preserve"> </w:t>
      </w:r>
      <w:r w:rsidR="00DD7B45">
        <w:rPr>
          <w:rFonts w:ascii="Times New Roman" w:hAnsi="Times New Roman"/>
          <w:bCs/>
        </w:rPr>
        <w:t>Text, tabulka č. 1.</w:t>
      </w:r>
      <w:r w:rsidR="00644D21" w:rsidRPr="00FA1FA5">
        <w:rPr>
          <w:b/>
          <w:color w:val="000000"/>
          <w:sz w:val="24"/>
          <w:szCs w:val="24"/>
        </w:rPr>
        <w:tab/>
      </w:r>
      <w:r w:rsidR="00644D21" w:rsidRPr="00FA1FA5">
        <w:rPr>
          <w:b/>
          <w:color w:val="000000"/>
          <w:sz w:val="24"/>
          <w:szCs w:val="24"/>
        </w:rPr>
        <w:tab/>
      </w:r>
      <w:r w:rsidR="00644D21" w:rsidRPr="00FA1FA5">
        <w:rPr>
          <w:b/>
          <w:color w:val="000000"/>
          <w:sz w:val="24"/>
          <w:szCs w:val="24"/>
        </w:rPr>
        <w:tab/>
      </w:r>
      <w:r w:rsidR="00644D21" w:rsidRPr="00FA1FA5">
        <w:rPr>
          <w:b/>
          <w:color w:val="000000"/>
          <w:sz w:val="24"/>
          <w:szCs w:val="24"/>
        </w:rPr>
        <w:tab/>
      </w:r>
    </w:p>
    <w:p w:rsidR="00644D21" w:rsidRPr="00FA1FA5" w:rsidRDefault="00644D21" w:rsidP="00644D21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Jméno autora:</w:t>
      </w:r>
      <w:r>
        <w:rPr>
          <w:b/>
          <w:color w:val="000000"/>
          <w:sz w:val="24"/>
          <w:szCs w:val="24"/>
        </w:rPr>
        <w:t xml:space="preserve"> </w:t>
      </w:r>
      <w:r w:rsidRPr="00C90B2B">
        <w:rPr>
          <w:color w:val="000000"/>
          <w:sz w:val="24"/>
          <w:szCs w:val="24"/>
        </w:rPr>
        <w:t>Ing. Hana Illingerová</w:t>
      </w:r>
      <w:r w:rsidRPr="00C90B2B">
        <w:rPr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644D21" w:rsidRPr="00FA1FA5" w:rsidRDefault="00644D21" w:rsidP="00644D21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Datum (období) vytvoření DUM: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jaro, léto 2013</w:t>
      </w:r>
      <w:r w:rsidRPr="00FA1FA5">
        <w:rPr>
          <w:b/>
          <w:color w:val="000000"/>
          <w:sz w:val="24"/>
          <w:szCs w:val="24"/>
        </w:rPr>
        <w:tab/>
      </w:r>
    </w:p>
    <w:p w:rsidR="00644D21" w:rsidRPr="00FA1FA5" w:rsidRDefault="00644D21" w:rsidP="00644D21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 xml:space="preserve">Ročník: </w:t>
      </w:r>
      <w:r>
        <w:rPr>
          <w:b/>
          <w:color w:val="000000"/>
          <w:sz w:val="24"/>
          <w:szCs w:val="24"/>
        </w:rPr>
        <w:t>1., 2., 3., 4.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644D21" w:rsidRPr="00FA1FA5" w:rsidRDefault="00644D21" w:rsidP="00644D21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oblast: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písemná a elektronická komunikace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644D21" w:rsidRPr="00FA1FA5" w:rsidRDefault="00644D21" w:rsidP="00644D21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obor: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Obchodní akademie, Podnikání, Veřejnosprávní činnost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644D21" w:rsidRPr="00FA1FA5" w:rsidRDefault="00644D21" w:rsidP="00644D21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Klíčová slova: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opis textu na přesnost a rychlost, tabulky jednoduché a složité, záhlaví, zdroje údajů</w:t>
      </w:r>
    </w:p>
    <w:p w:rsidR="00644D21" w:rsidRPr="00FA1FA5" w:rsidRDefault="00644D21" w:rsidP="00644D21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Anotace:</w:t>
      </w:r>
      <w:r>
        <w:rPr>
          <w:b/>
          <w:color w:val="000000"/>
          <w:sz w:val="24"/>
          <w:szCs w:val="24"/>
        </w:rPr>
        <w:t xml:space="preserve"> Materiály slouží nejen jako učební pomůck</w:t>
      </w:r>
      <w:r w:rsidR="00E342CA">
        <w:rPr>
          <w:b/>
          <w:color w:val="000000"/>
          <w:sz w:val="24"/>
          <w:szCs w:val="24"/>
        </w:rPr>
        <w:t>a, ale zároveň jako pomůcka při</w:t>
      </w:r>
      <w:r>
        <w:rPr>
          <w:b/>
          <w:color w:val="000000"/>
          <w:sz w:val="24"/>
          <w:szCs w:val="24"/>
        </w:rPr>
        <w:t xml:space="preserve"> přípravě na státní zkoušky nebo různé formy soutěží</w:t>
      </w:r>
      <w:r w:rsidRPr="00FA1FA5">
        <w:rPr>
          <w:b/>
          <w:color w:val="000000"/>
          <w:sz w:val="24"/>
          <w:szCs w:val="24"/>
        </w:rPr>
        <w:tab/>
      </w:r>
    </w:p>
    <w:p w:rsidR="00644D21" w:rsidRPr="00FA1FA5" w:rsidRDefault="00644D21" w:rsidP="00644D21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Druh učebního materiálu: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tištěné texty a vzor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644D21" w:rsidRDefault="00644D21" w:rsidP="00644D21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Očekávaný výstup:</w:t>
      </w:r>
      <w:r>
        <w:rPr>
          <w:b/>
          <w:color w:val="000000"/>
          <w:sz w:val="24"/>
          <w:szCs w:val="24"/>
        </w:rPr>
        <w:t xml:space="preserve"> </w:t>
      </w:r>
      <w:r w:rsidR="00F242E9">
        <w:rPr>
          <w:rFonts w:eastAsia="Times New Roman"/>
        </w:rPr>
        <w:t xml:space="preserve">žák </w:t>
      </w:r>
      <w:r>
        <w:rPr>
          <w:rFonts w:eastAsia="Times New Roman"/>
        </w:rPr>
        <w:t>se trénuje v přesnosti a rychlosti opisu tištěných textů a je schopen p</w:t>
      </w:r>
      <w:r w:rsidR="00F242E9">
        <w:rPr>
          <w:rFonts w:eastAsia="Times New Roman"/>
        </w:rPr>
        <w:t>odle norem vypracovat přehledné</w:t>
      </w:r>
      <w:r>
        <w:rPr>
          <w:rFonts w:eastAsia="Times New Roman"/>
        </w:rPr>
        <w:t xml:space="preserve"> a správné tabulky</w:t>
      </w:r>
      <w:r w:rsidRPr="00FA1FA5">
        <w:rPr>
          <w:b/>
          <w:color w:val="000000"/>
          <w:sz w:val="24"/>
          <w:szCs w:val="24"/>
        </w:rPr>
        <w:tab/>
      </w:r>
    </w:p>
    <w:p w:rsidR="00644D21" w:rsidRDefault="00644D21" w:rsidP="00644D21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rFonts w:eastAsia="Times New Roman"/>
        </w:rPr>
        <w:t>každá ucele</w:t>
      </w:r>
      <w:r w:rsidR="008040B1">
        <w:rPr>
          <w:rFonts w:eastAsia="Times New Roman"/>
        </w:rPr>
        <w:t>ná kapitola obsahuje na začátku</w:t>
      </w:r>
      <w:r>
        <w:rPr>
          <w:rFonts w:eastAsia="Times New Roman"/>
        </w:rPr>
        <w:t xml:space="preserve"> písemnost pro žáky, kteří na její m základě potom vypracovávají jednotlivé úkoly.  Jedná se v první části o opisy na přesnost a rychlost, kdy jednotliví</w:t>
      </w:r>
      <w:r w:rsidR="008040B1">
        <w:rPr>
          <w:rFonts w:eastAsia="Times New Roman"/>
        </w:rPr>
        <w:t xml:space="preserve"> vyučující </w:t>
      </w:r>
      <w:r>
        <w:rPr>
          <w:rFonts w:eastAsia="Times New Roman"/>
        </w:rPr>
        <w:t xml:space="preserve">si podle vlastního uvážení zvolí </w:t>
      </w:r>
    </w:p>
    <w:p w:rsidR="00644D21" w:rsidRDefault="00644D21" w:rsidP="00644D21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</w:t>
      </w:r>
      <w:r w:rsidRPr="00AB7902">
        <w:rPr>
          <w:color w:val="000000"/>
          <w:sz w:val="24"/>
          <w:szCs w:val="24"/>
        </w:rPr>
        <w:t>délku trvání opisu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oznámkují ho podle daných pravidel. </w:t>
      </w:r>
      <w:r>
        <w:rPr>
          <w:rFonts w:eastAsia="Times New Roman"/>
        </w:rPr>
        <w:t>Dále ve druhé část j</w:t>
      </w:r>
      <w:r w:rsidR="008040B1">
        <w:rPr>
          <w:rFonts w:eastAsia="Times New Roman"/>
        </w:rPr>
        <w:t xml:space="preserve">e úkolem žáka vypracovat podle </w:t>
      </w:r>
      <w:r>
        <w:rPr>
          <w:rFonts w:eastAsia="Times New Roman"/>
        </w:rPr>
        <w:t>norem tabulku s jednoduchým i složitým záhlavím a doplnit ji o patřičné údaje, které mají povinně obsahovat.</w:t>
      </w:r>
    </w:p>
    <w:p w:rsidR="00A730A3" w:rsidRDefault="00A730A3" w:rsidP="00644D21">
      <w:pPr>
        <w:pStyle w:val="Bezmezer"/>
        <w:ind w:left="3540" w:hanging="3540"/>
        <w:rPr>
          <w:rFonts w:eastAsia="Times New Roman"/>
        </w:rPr>
      </w:pPr>
    </w:p>
    <w:p w:rsidR="00A730A3" w:rsidRDefault="00A730A3" w:rsidP="00644D21">
      <w:pPr>
        <w:pStyle w:val="Bezmezer"/>
        <w:ind w:left="3540" w:hanging="3540"/>
        <w:rPr>
          <w:rFonts w:eastAsia="Times New Roman"/>
        </w:rPr>
      </w:pPr>
    </w:p>
    <w:p w:rsidR="00A730A3" w:rsidRDefault="00A730A3" w:rsidP="00644D21">
      <w:pPr>
        <w:pStyle w:val="Bezmezer"/>
        <w:ind w:left="3540" w:hanging="3540"/>
        <w:rPr>
          <w:rFonts w:eastAsia="Times New Roman"/>
        </w:rPr>
      </w:pPr>
    </w:p>
    <w:p w:rsidR="00A730A3" w:rsidRDefault="00A730A3" w:rsidP="00644D21">
      <w:pPr>
        <w:pStyle w:val="Bezmezer"/>
        <w:ind w:left="3540" w:hanging="3540"/>
        <w:rPr>
          <w:rFonts w:eastAsia="Times New Roman"/>
        </w:rPr>
      </w:pPr>
    </w:p>
    <w:p w:rsidR="00A730A3" w:rsidRDefault="00A730A3" w:rsidP="00644D21">
      <w:pPr>
        <w:pStyle w:val="Bezmezer"/>
        <w:ind w:left="3540" w:hanging="3540"/>
        <w:rPr>
          <w:rFonts w:eastAsia="Times New Roman"/>
        </w:rPr>
      </w:pPr>
    </w:p>
    <w:p w:rsidR="00A730A3" w:rsidRDefault="00A730A3" w:rsidP="00644D21">
      <w:pPr>
        <w:pStyle w:val="Bezmezer"/>
        <w:ind w:left="3540" w:hanging="3540"/>
        <w:rPr>
          <w:rFonts w:eastAsia="Times New Roman"/>
        </w:rPr>
      </w:pPr>
    </w:p>
    <w:p w:rsidR="00A730A3" w:rsidRDefault="00A730A3" w:rsidP="00644D21">
      <w:pPr>
        <w:pStyle w:val="Bezmezer"/>
        <w:ind w:left="3540" w:hanging="3540"/>
        <w:rPr>
          <w:rFonts w:eastAsia="Times New Roman"/>
        </w:rPr>
      </w:pPr>
    </w:p>
    <w:p w:rsidR="00A730A3" w:rsidRDefault="00A730A3" w:rsidP="00644D21">
      <w:pPr>
        <w:pStyle w:val="Bezmezer"/>
        <w:ind w:left="3540" w:hanging="3540"/>
        <w:rPr>
          <w:rFonts w:eastAsia="Times New Roman"/>
        </w:rPr>
      </w:pPr>
    </w:p>
    <w:p w:rsidR="00A730A3" w:rsidRDefault="00A730A3" w:rsidP="00644D21">
      <w:pPr>
        <w:pStyle w:val="Bezmezer"/>
        <w:ind w:left="3540" w:hanging="3540"/>
        <w:rPr>
          <w:rFonts w:eastAsia="Times New Roman"/>
        </w:rPr>
      </w:pPr>
    </w:p>
    <w:p w:rsidR="00A730A3" w:rsidRDefault="00A730A3" w:rsidP="00644D21">
      <w:pPr>
        <w:pStyle w:val="Bezmezer"/>
        <w:ind w:left="3540" w:hanging="3540"/>
        <w:rPr>
          <w:rFonts w:eastAsia="Times New Roman"/>
        </w:rPr>
      </w:pPr>
    </w:p>
    <w:p w:rsidR="00A730A3" w:rsidRDefault="00A730A3" w:rsidP="00644D21">
      <w:pPr>
        <w:pStyle w:val="Bezmezer"/>
        <w:ind w:left="3540" w:hanging="3540"/>
        <w:rPr>
          <w:rFonts w:eastAsia="Times New Roman"/>
        </w:rPr>
      </w:pPr>
    </w:p>
    <w:p w:rsidR="00FC3D85" w:rsidRDefault="00FC3D85" w:rsidP="00FC3D85">
      <w:pPr>
        <w:pStyle w:val="Nzev"/>
        <w:jc w:val="both"/>
        <w:rPr>
          <w:rFonts w:asciiTheme="minorHAnsi" w:eastAsia="+mn-ea" w:hAnsiTheme="minorHAnsi"/>
          <w:b w:val="0"/>
          <w:sz w:val="24"/>
          <w:szCs w:val="24"/>
          <w:u w:val="none"/>
        </w:rPr>
      </w:pP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 xml:space="preserve">Autorem materiálu a všech jeho příloh, není-li uvedeno jinak, je Ing. </w:t>
      </w:r>
      <w:r>
        <w:rPr>
          <w:rFonts w:asciiTheme="minorHAnsi" w:eastAsia="+mn-ea" w:hAnsiTheme="minorHAnsi"/>
          <w:b w:val="0"/>
          <w:sz w:val="24"/>
          <w:szCs w:val="24"/>
          <w:u w:val="none"/>
        </w:rPr>
        <w:t>Hana Illingerová</w:t>
      </w: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>.</w:t>
      </w:r>
    </w:p>
    <w:p w:rsidR="00A730A3" w:rsidRDefault="00A730A3" w:rsidP="00644D21">
      <w:pPr>
        <w:pStyle w:val="Bezmezer"/>
        <w:ind w:left="3540" w:hanging="3540"/>
        <w:rPr>
          <w:rFonts w:eastAsia="Times New Roman"/>
        </w:rPr>
      </w:pPr>
    </w:p>
    <w:p w:rsidR="00A730A3" w:rsidRDefault="00A730A3" w:rsidP="00644D21">
      <w:pPr>
        <w:pStyle w:val="Bezmezer"/>
        <w:ind w:left="3540" w:hanging="3540"/>
        <w:rPr>
          <w:rFonts w:eastAsia="Times New Roman"/>
        </w:rPr>
      </w:pPr>
    </w:p>
    <w:p w:rsidR="00A730A3" w:rsidRDefault="00A730A3" w:rsidP="00644D21">
      <w:pPr>
        <w:pStyle w:val="Bezmezer"/>
        <w:ind w:left="3540" w:hanging="3540"/>
        <w:rPr>
          <w:rFonts w:eastAsia="Times New Roman"/>
        </w:rPr>
      </w:pPr>
    </w:p>
    <w:p w:rsidR="000C2CDC" w:rsidRDefault="000C2CDC" w:rsidP="00A730A3">
      <w:pPr>
        <w:pStyle w:val="Nadpis3"/>
        <w:shd w:val="clear" w:color="auto" w:fill="FFFFFF"/>
      </w:pPr>
      <w:r>
        <w:lastRenderedPageBreak/>
        <w:t>Dopravní nehody v ČR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0C2CDC" w:rsidRDefault="000C2CDC" w:rsidP="00A730A3">
      <w:pPr>
        <w:pStyle w:val="Nadpis2"/>
        <w:shd w:val="clear" w:color="auto" w:fill="FFFFFF"/>
      </w:pPr>
      <w:r>
        <w:t>Dlouhodobý negativní trend ve vývoji počtu dopravních nehod, ale      66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i následků nehodovosti v České republice vyžaduje neodkladně         130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přijmout opatření ke změně současného stavu. Každoročně v naší       194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zemí umírá v důsledku dopravních nehod více než třináct set osob,    260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dalších téměř šest tisíc lidí je těžce zraněno a celospolečenské     325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ztráty způsobené dopravními nehodami přesahují 46 miliard korun.     392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Oproti motoristicky vyspělým státům není v naší společnosti stále    459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ještě bezpečnost silničního provozu vnímána jako priorita. Právní    526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vědomí účastníků provozu na pozemních komunikacích je na rozdíl      590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od vyspělých států na velice nízké úrovni. Nápravu současného        653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stavu lze docílit jedině moudrým přístupem v oblasti prevence,       716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včetně přijetí některých nutných změn v právní úpravě provozu na     781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pozemních komunikacích. Předpokladem úspěšnosti nově navrhované      746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strategie je nejen aktivní účast všech zainteresovaných subjektů,    912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to jak z veřejné správy, tak i z oblasti nevládních organizací     977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občanských sdružení, ale i podpora široké veřejnosti celému       1034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projektu. Národní strategie bezpečnosti silničního provozu bude     1104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vycházet hlavně z analýzy dopravních nehod v České republice.       1169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Důležitým kritériem jsou ale i mezinárodní závazky. Hlavním cílem   1237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 budoucnost je především snížení počtu usmrcených v silničním    1302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provozu. Strategie je koncipována tak, že je stanoven základní      1366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cíl a prostředky pro jeho dosažení. Tyto prostředky jsou dále       1429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rozpracovány do opatření a následně do konkrétních nástrojů.        1490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Dosažení vytčených cílů předpokládá důslednou koordinaci všech      1554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navrhovaných opatření a zapojení co nejširšího spektra subjektů     1618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 jejich plnění, a to jak na národní, tak na regionální úrovni.    1683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Splnění zmíněných opatření proto předpokládá jejich promyšlené      1747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cílené rozpracování na úrovni krajů a jednotlivých obcí podle     1811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specifických místních podmínek, včetně stanovení odpovědnosti       1873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konkrétních zainteresovaných subjektů a způsobu hodnocení plnění    1938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těchto cílů. Použité prostředky a nástroje jsou formulovány podle   2005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důkladně provedené analýzy všech dopravních nehod. Současně berou   2072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úvahu mezinárodní závazky České republiky, zejména doporučení     2139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Evropské unie s názvem Akční program zvýšení bezpečnosti provozu    2206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 silnicích na příštích pět let. Podle analýzy dopravních nehod    2272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 pozemních komunikacích v České republice jsou kritické tyto      2338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faktory: nízké právní vědomí účastníků silničního provozu, nízká    2404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vymahatelnost práva, nepřiměřená rychlost jízdy, nedání přednosti   2470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jízdě. Velmi závažné jsou následky nehod způsobených pod vlivem   2537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alkoholu. Negativní roli však sehrávají i jiné návykové látky.      2601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730A3" w:rsidRDefault="00A730A3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C2CDC" w:rsidRDefault="000C2CDC" w:rsidP="00A730A3">
      <w:pPr>
        <w:pStyle w:val="Nadpis3"/>
        <w:shd w:val="clear" w:color="auto" w:fill="FFFFFF"/>
      </w:pPr>
      <w:r>
        <w:lastRenderedPageBreak/>
        <w:t>Kouření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0C2CDC" w:rsidRDefault="000C2CDC" w:rsidP="00A730A3">
      <w:pPr>
        <w:pStyle w:val="Nadpis2"/>
        <w:shd w:val="clear" w:color="auto" w:fill="FFFFFF"/>
      </w:pPr>
      <w:r>
        <w:t>Válka kuřáků s nekuřáky končí. Nedýchatelný vzduch v restauraci,      66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obvykle přesycený cigaretovým kouřem, dokázal vždy zkazit náladu     131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nekuřákům, kteří si přejí u jídla posedět v čistém prostředí. Jak    198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již v minulosti ukázalo, úřední zákazy a omezení kouření ve       261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veřejných prostorách řešením nejsou. Východisko z nepříjemné         323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situace nabízí nový projekt založený na toleranci a kvalitním        385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ventilačním zázemí zvoleného objektu. Princip je vlastně velmi       449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jednoduchý. Jeho základem je technické řešení klimatizace, která     515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povede vzduch v místnosti přes označené kuřácké a nekuřácké zóny.    582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místech, kde do místnosti proudí čistý vzduch, vznikne prostor     648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nekuřácký. Kuřácké oddělení najdeme v místech, kde vzduch odchází    715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 místnosti. Proudění vzduchu tak samo zajistí, aby ani jedna        778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skupina hostů nebyla omezována druhou. Kromě kartiček, které         840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vymezují zóny na každém stole, host nepozná žádnou změnu. Navíc      906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bude moci personál podle měření provedených v restauraci zvětšit     971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zmenšit zóny podle aktuální potřeby. Po celém světě existuje už   1039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asi tři tisíce zařízení, v nichž je projekt nyní realizován. Mezi   1106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čtyřicet zemí zapojených do akce patří dnes i naše republika, kde   1172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v této oblasti angažuje řada prvotřídních hotelů. Rozdělení      1236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prostoru na zóny se pro personál těchto hotelů i pro klienty už     1301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stalo samozřejmostí, i když se občas objeví takový host, který je   1367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pevně rozhodnut kouřit u stolu v zóně nekuřáků. Hned u dveří je     1433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zákazník osloven číšníkem a uveden do té zóny, kterou si vybere.    1499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 to obrovský krok dopředu, protože do nedávné doby se u nás o     1564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vyřešení věčného boje nekuřáků s kuřáky nikdo nestaral. Zajímavé    1630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jsou v této souvislosti výsledky výzkumu postojů členů vedení       1692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restaurací a českých podnikatelů v pohostinství k otázce kouření    1757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jejich restauračních zařízeních. Shodují se, že si zákazníci      1821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nejčastěji stěžují na horky nebo zimu, méně už na tabákový kouř.    1886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Většinou se tedy domnívají, že soužití nekuřáků s kuřáky bude       1949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třeba řešit až ve vzdálené budoucnosti. Vedle popsaného projektu    2116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který je určen pro větší hotely a restaurace, existuje jeho menší   2082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verze s názvem Tradiční pohostinnost. Její program je zaměřen na    2149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zkvalitnění vzduchu v menších pohostinských zařízeních. Spočívá     2214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především v dokonalejším řešení ventilace a je realizovatelná       2276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téměř ve všech menších podnicích. Zavedení nevyžaduje žádné velké   2343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finanční náklady nebo stavební úpravy, není omezeno ani počtem      2406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míst v podniku, ani rozlohou. V českých podmínkách se bude výše     2471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nákladů na realizaci projektu pohybovat řádově v tisících korun,    2536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samozřejmě s ohledem na technickou kvalitu dřívější ventilace.      2599</w:t>
      </w: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C2CDC" w:rsidRDefault="000C2CDC" w:rsidP="00A730A3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0C2CDC" w:rsidRDefault="000C2CDC" w:rsidP="00A730A3">
      <w:pPr>
        <w:spacing w:after="0" w:line="240" w:lineRule="auto"/>
      </w:pPr>
    </w:p>
    <w:p w:rsidR="000C2CDC" w:rsidRDefault="000C2CDC" w:rsidP="00A730A3">
      <w:pPr>
        <w:spacing w:after="0" w:line="240" w:lineRule="auto"/>
      </w:pPr>
    </w:p>
    <w:p w:rsidR="000C2CDC" w:rsidRDefault="000C2CDC" w:rsidP="000C2CDC"/>
    <w:p w:rsidR="000C2CDC" w:rsidRPr="00AF143D" w:rsidRDefault="000C2CDC" w:rsidP="000C2CDC">
      <w:pPr>
        <w:pStyle w:val="Zkladntext"/>
        <w:rPr>
          <w:u w:val="single"/>
        </w:rPr>
      </w:pPr>
      <w:r w:rsidRPr="00AF143D">
        <w:rPr>
          <w:u w:val="single"/>
        </w:rPr>
        <w:lastRenderedPageBreak/>
        <w:t>Mzdové ohodnocení profesí</w:t>
      </w:r>
    </w:p>
    <w:p w:rsidR="000C2CDC" w:rsidRPr="00AF143D" w:rsidRDefault="000C2CDC" w:rsidP="000C2CDC">
      <w:pPr>
        <w:pStyle w:val="Zkladntext"/>
        <w:rPr>
          <w:u w:val="single"/>
        </w:rPr>
      </w:pPr>
    </w:p>
    <w:p w:rsidR="000C2CDC" w:rsidRPr="00AF143D" w:rsidRDefault="000C2CDC" w:rsidP="000C2CDC">
      <w:pPr>
        <w:pStyle w:val="Zkladntext"/>
      </w:pPr>
      <w:r w:rsidRPr="00AF143D">
        <w:t xml:space="preserve">     Vypracujte tabulkový přehled průměrné čisté měsíční mzdy (v EUR), kterou měl v předminulém roce dělník ve stavebnictví, ve strojírenství, elektroinženýr a střední manažer ve Frankfurtu n. Moh., v Paříži, ve Vídni, v Lisabonu a v Praze: 1 100; 1 473; 2</w:t>
      </w:r>
      <w:r>
        <w:t xml:space="preserve"> 543; 2 652.</w:t>
      </w:r>
      <w:r w:rsidRPr="000C2466">
        <w:t xml:space="preserve"> </w:t>
      </w:r>
      <w:r w:rsidRPr="00AF143D">
        <w:t>733; 1 300; 2 808; 3 558. 1 043; 1 699; 2 636; 3 209. 676; 1 345; 2 439; 3 288. 696; 846;</w:t>
      </w:r>
      <w:r>
        <w:t xml:space="preserve"> </w:t>
      </w:r>
      <w:r w:rsidRPr="00AF143D">
        <w:t>1 608; 2 673. Poznamenejte, že zpracovatelem uvedených údajů je Výzkumný ústav Ministerstva práce a sociálních věcí ČR.</w:t>
      </w:r>
    </w:p>
    <w:p w:rsidR="000C2CDC" w:rsidRPr="00AF143D" w:rsidRDefault="000C2CDC" w:rsidP="000C2CDC">
      <w:pPr>
        <w:pStyle w:val="Zkladntext"/>
      </w:pPr>
      <w:r w:rsidRPr="00AF143D">
        <w:t xml:space="preserve">          </w:t>
      </w:r>
    </w:p>
    <w:p w:rsidR="000C2CDC" w:rsidRPr="00AF143D" w:rsidRDefault="000C2CDC" w:rsidP="000C2CDC">
      <w:pPr>
        <w:pStyle w:val="Zkladntext"/>
      </w:pPr>
    </w:p>
    <w:p w:rsidR="000C2CDC" w:rsidRPr="00AF143D" w:rsidRDefault="000C2CDC" w:rsidP="000C2CDC"/>
    <w:p w:rsidR="00E16A3E" w:rsidRDefault="00E16A3E" w:rsidP="00AB7902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 xml:space="preserve"> </w:t>
      </w:r>
    </w:p>
    <w:p w:rsidR="0035087B" w:rsidRDefault="0035087B"/>
    <w:sectPr w:rsidR="0035087B" w:rsidSect="00A730A3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1032" w:rsidRDefault="00B11032" w:rsidP="00F06987">
      <w:pPr>
        <w:spacing w:after="0" w:line="240" w:lineRule="auto"/>
      </w:pPr>
      <w:r>
        <w:separator/>
      </w:r>
    </w:p>
  </w:endnote>
  <w:endnote w:type="continuationSeparator" w:id="1">
    <w:p w:rsidR="00B11032" w:rsidRDefault="00B11032" w:rsidP="00F06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1032" w:rsidRDefault="00B11032" w:rsidP="00F06987">
      <w:pPr>
        <w:spacing w:after="0" w:line="240" w:lineRule="auto"/>
      </w:pPr>
      <w:r>
        <w:separator/>
      </w:r>
    </w:p>
  </w:footnote>
  <w:footnote w:type="continuationSeparator" w:id="1">
    <w:p w:rsidR="00B11032" w:rsidRDefault="00B11032" w:rsidP="00F069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/>
  <w:rsids>
    <w:rsidRoot w:val="00E16A3E"/>
    <w:rsid w:val="00022FB2"/>
    <w:rsid w:val="00056F0F"/>
    <w:rsid w:val="000C2CDC"/>
    <w:rsid w:val="000E51C0"/>
    <w:rsid w:val="00192D33"/>
    <w:rsid w:val="002D7F60"/>
    <w:rsid w:val="0035087B"/>
    <w:rsid w:val="0036054C"/>
    <w:rsid w:val="003E5E2E"/>
    <w:rsid w:val="005C3285"/>
    <w:rsid w:val="00600BE2"/>
    <w:rsid w:val="00605659"/>
    <w:rsid w:val="00644D21"/>
    <w:rsid w:val="006609FA"/>
    <w:rsid w:val="006651CF"/>
    <w:rsid w:val="00724CAF"/>
    <w:rsid w:val="00730983"/>
    <w:rsid w:val="00785D3E"/>
    <w:rsid w:val="007B0429"/>
    <w:rsid w:val="008040B1"/>
    <w:rsid w:val="008117C9"/>
    <w:rsid w:val="00892047"/>
    <w:rsid w:val="008A00E9"/>
    <w:rsid w:val="00964749"/>
    <w:rsid w:val="009D03B7"/>
    <w:rsid w:val="009E761F"/>
    <w:rsid w:val="009F1119"/>
    <w:rsid w:val="00A31A27"/>
    <w:rsid w:val="00A324AF"/>
    <w:rsid w:val="00A42404"/>
    <w:rsid w:val="00A727C4"/>
    <w:rsid w:val="00A730A3"/>
    <w:rsid w:val="00AB7902"/>
    <w:rsid w:val="00B11032"/>
    <w:rsid w:val="00B17A4A"/>
    <w:rsid w:val="00B97C03"/>
    <w:rsid w:val="00C34502"/>
    <w:rsid w:val="00C752C4"/>
    <w:rsid w:val="00CE7D11"/>
    <w:rsid w:val="00CF0006"/>
    <w:rsid w:val="00D27DD9"/>
    <w:rsid w:val="00DC156F"/>
    <w:rsid w:val="00DD7B45"/>
    <w:rsid w:val="00DF7A40"/>
    <w:rsid w:val="00E16A3E"/>
    <w:rsid w:val="00E342CA"/>
    <w:rsid w:val="00E6296C"/>
    <w:rsid w:val="00EA3FFC"/>
    <w:rsid w:val="00F06987"/>
    <w:rsid w:val="00F242E9"/>
    <w:rsid w:val="00F37F2F"/>
    <w:rsid w:val="00F50416"/>
    <w:rsid w:val="00F75460"/>
    <w:rsid w:val="00F90333"/>
    <w:rsid w:val="00FA418E"/>
    <w:rsid w:val="00FC3D85"/>
    <w:rsid w:val="00FC5500"/>
    <w:rsid w:val="00FC5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087B"/>
  </w:style>
  <w:style w:type="paragraph" w:styleId="Nadpis2">
    <w:name w:val="heading 2"/>
    <w:basedOn w:val="Normln"/>
    <w:next w:val="Normln"/>
    <w:link w:val="Nadpis2Char"/>
    <w:qFormat/>
    <w:rsid w:val="000C2CDC"/>
    <w:pPr>
      <w:keepNext/>
      <w:spacing w:after="0" w:line="240" w:lineRule="auto"/>
      <w:outlineLvl w:val="1"/>
    </w:pPr>
    <w:rPr>
      <w:rFonts w:ascii="Courier" w:eastAsia="Times New Roman" w:hAnsi="Courier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0C2CDC"/>
    <w:pPr>
      <w:keepNext/>
      <w:spacing w:after="0" w:line="240" w:lineRule="auto"/>
      <w:outlineLvl w:val="2"/>
    </w:pPr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E16A3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E16A3E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Bezmezer">
    <w:name w:val="No Spacing"/>
    <w:uiPriority w:val="1"/>
    <w:qFormat/>
    <w:rsid w:val="00785D3E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5D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5D3E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0C2CDC"/>
    <w:rPr>
      <w:rFonts w:ascii="Courier" w:eastAsia="Times New Roman" w:hAnsi="Courier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0C2CDC"/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0C2CD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C2CD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069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06987"/>
  </w:style>
  <w:style w:type="paragraph" w:styleId="Zpat">
    <w:name w:val="footer"/>
    <w:basedOn w:val="Normln"/>
    <w:link w:val="ZpatChar"/>
    <w:uiPriority w:val="99"/>
    <w:semiHidden/>
    <w:unhideWhenUsed/>
    <w:rsid w:val="00F069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069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9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1198</Words>
  <Characters>7073</Characters>
  <Application>Microsoft Office Word</Application>
  <DocSecurity>0</DocSecurity>
  <Lines>58</Lines>
  <Paragraphs>16</Paragraphs>
  <ScaleCrop>false</ScaleCrop>
  <Company/>
  <LinksUpToDate>false</LinksUpToDate>
  <CharactersWithSpaces>8255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34</cp:revision>
  <dcterms:created xsi:type="dcterms:W3CDTF">2013-07-02T07:59:00Z</dcterms:created>
  <dcterms:modified xsi:type="dcterms:W3CDTF">2014-01-21T19:58:00Z</dcterms:modified>
</cp:coreProperties>
</file>