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325" w:rsidRDefault="00164325" w:rsidP="00EF374D">
      <w:pPr>
        <w:pStyle w:val="Bezmezer"/>
        <w:ind w:left="3540" w:hanging="3540"/>
        <w:rPr>
          <w:b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5753100" cy="1362075"/>
            <wp:effectExtent l="19050" t="0" r="0" b="0"/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362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212"/>
      </w:tblGrid>
      <w:tr w:rsidR="00164325" w:rsidRPr="000C558A" w:rsidTr="004F6191">
        <w:tc>
          <w:tcPr>
            <w:tcW w:w="9212" w:type="dxa"/>
          </w:tcPr>
          <w:p w:rsidR="00164325" w:rsidRPr="000C558A" w:rsidRDefault="00164325" w:rsidP="004F6191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Zlepšení podmínek pro vzdělávání na středních školách Operačního programu</w:t>
            </w:r>
          </w:p>
          <w:p w:rsidR="00164325" w:rsidRPr="000C558A" w:rsidRDefault="00164325" w:rsidP="004F6191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Vzdělávání pro konkurenceschopnost</w:t>
            </w:r>
          </w:p>
          <w:p w:rsidR="00164325" w:rsidRPr="000C558A" w:rsidRDefault="00164325" w:rsidP="004F6191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164325" w:rsidRPr="000C558A" w:rsidTr="004F6191">
        <w:trPr>
          <w:trHeight w:val="875"/>
        </w:trPr>
        <w:tc>
          <w:tcPr>
            <w:tcW w:w="9212" w:type="dxa"/>
            <w:vAlign w:val="center"/>
          </w:tcPr>
          <w:p w:rsidR="00164325" w:rsidRPr="000C558A" w:rsidRDefault="00164325" w:rsidP="004F619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52475"/>
                  <wp:effectExtent l="19050" t="0" r="0" b="0"/>
                  <wp:docPr id="10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4325" w:rsidRPr="000C558A" w:rsidTr="004F6191">
        <w:tc>
          <w:tcPr>
            <w:tcW w:w="9212" w:type="dxa"/>
          </w:tcPr>
          <w:p w:rsidR="00164325" w:rsidRPr="000C558A" w:rsidRDefault="00164325" w:rsidP="004F6191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C558A"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164325" w:rsidRDefault="00164325" w:rsidP="00EF374D">
      <w:pPr>
        <w:pStyle w:val="Bezmezer"/>
        <w:ind w:left="3540" w:hanging="3540"/>
        <w:rPr>
          <w:b/>
          <w:sz w:val="24"/>
          <w:szCs w:val="24"/>
        </w:rPr>
      </w:pPr>
    </w:p>
    <w:p w:rsidR="00711C98" w:rsidRDefault="00711C98" w:rsidP="00711C98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Číslo a název klíčové aktivity: </w:t>
      </w:r>
      <w:r>
        <w:rPr>
          <w:bCs/>
          <w:iCs/>
          <w:sz w:val="24"/>
          <w:szCs w:val="24"/>
        </w:rPr>
        <w:t xml:space="preserve">III/2 Inovace a zkvalitnění výuky prostřednictvím ICT </w:t>
      </w:r>
    </w:p>
    <w:p w:rsidR="00711C98" w:rsidRDefault="00711C98" w:rsidP="00711C98">
      <w:pPr>
        <w:pStyle w:val="Bezmezer"/>
        <w:ind w:left="3540" w:hanging="3540"/>
        <w:rPr>
          <w:color w:val="000000"/>
          <w:sz w:val="20"/>
          <w:szCs w:val="20"/>
        </w:rPr>
      </w:pPr>
      <w:r>
        <w:rPr>
          <w:b/>
          <w:color w:val="000000"/>
          <w:sz w:val="24"/>
          <w:szCs w:val="24"/>
        </w:rPr>
        <w:t xml:space="preserve">Číslo DUM: </w:t>
      </w:r>
      <w:r w:rsidR="00A27414">
        <w:rPr>
          <w:color w:val="000000"/>
          <w:sz w:val="20"/>
          <w:szCs w:val="20"/>
        </w:rPr>
        <w:t>VY_32_INOVACE_32Igo4</w:t>
      </w:r>
    </w:p>
    <w:p w:rsidR="00EF374D" w:rsidRDefault="00711C98" w:rsidP="00711C98">
      <w:pPr>
        <w:pStyle w:val="Bezmezer"/>
        <w:ind w:left="3540" w:hanging="3540"/>
        <w:rPr>
          <w:b/>
          <w:color w:val="000000"/>
          <w:sz w:val="24"/>
          <w:szCs w:val="24"/>
        </w:rPr>
      </w:pPr>
      <w:r w:rsidRPr="00244685">
        <w:rPr>
          <w:b/>
          <w:color w:val="000000"/>
          <w:sz w:val="24"/>
          <w:szCs w:val="24"/>
        </w:rPr>
        <w:t>Název DUM:</w:t>
      </w:r>
      <w:r w:rsidR="00DB1B95">
        <w:rPr>
          <w:b/>
          <w:color w:val="000000"/>
          <w:sz w:val="24"/>
          <w:szCs w:val="24"/>
        </w:rPr>
        <w:t xml:space="preserve"> </w:t>
      </w:r>
      <w:r w:rsidR="00DB1B95">
        <w:rPr>
          <w:rFonts w:ascii="Times New Roman" w:hAnsi="Times New Roman"/>
          <w:bCs/>
        </w:rPr>
        <w:t>Text, tabulka č. 4.</w:t>
      </w:r>
      <w:r w:rsidR="00EF374D">
        <w:rPr>
          <w:b/>
          <w:color w:val="000000"/>
          <w:sz w:val="24"/>
          <w:szCs w:val="24"/>
        </w:rPr>
        <w:tab/>
      </w:r>
      <w:r w:rsidR="00EF374D">
        <w:rPr>
          <w:b/>
          <w:color w:val="000000"/>
          <w:sz w:val="24"/>
          <w:szCs w:val="24"/>
        </w:rPr>
        <w:tab/>
      </w:r>
      <w:r w:rsidR="00EF374D">
        <w:rPr>
          <w:b/>
          <w:color w:val="000000"/>
          <w:sz w:val="24"/>
          <w:szCs w:val="24"/>
        </w:rPr>
        <w:tab/>
      </w:r>
      <w:r w:rsidR="00EF374D">
        <w:rPr>
          <w:b/>
          <w:color w:val="000000"/>
          <w:sz w:val="24"/>
          <w:szCs w:val="24"/>
        </w:rPr>
        <w:tab/>
      </w:r>
    </w:p>
    <w:p w:rsidR="00EF374D" w:rsidRDefault="00EF374D" w:rsidP="00EF374D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Jméno autora: </w:t>
      </w:r>
      <w:r>
        <w:rPr>
          <w:color w:val="000000"/>
          <w:sz w:val="24"/>
          <w:szCs w:val="24"/>
        </w:rPr>
        <w:t>Ing. Hana Illingerová</w:t>
      </w:r>
      <w:r>
        <w:rPr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EF374D" w:rsidRDefault="00EF374D" w:rsidP="00EF374D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Datum (období) vytvoření DUM: </w:t>
      </w:r>
      <w:r>
        <w:rPr>
          <w:rFonts w:eastAsia="Times New Roman"/>
        </w:rPr>
        <w:t>jaro, léto 2013</w:t>
      </w:r>
      <w:r>
        <w:rPr>
          <w:b/>
          <w:color w:val="000000"/>
          <w:sz w:val="24"/>
          <w:szCs w:val="24"/>
        </w:rPr>
        <w:tab/>
      </w:r>
    </w:p>
    <w:p w:rsidR="00EF374D" w:rsidRDefault="00EF374D" w:rsidP="00EF374D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Ročník: 1., 2., 3., 4.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EF374D" w:rsidRDefault="00EF374D" w:rsidP="00EF374D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Vzdělávací oblast: </w:t>
      </w:r>
      <w:r>
        <w:rPr>
          <w:rFonts w:eastAsia="Times New Roman"/>
        </w:rPr>
        <w:t>písemná a elektronická komunikace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EF374D" w:rsidRDefault="00EF374D" w:rsidP="00EF374D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Vzdělávací obor: </w:t>
      </w:r>
      <w:r>
        <w:rPr>
          <w:rFonts w:eastAsia="Times New Roman"/>
        </w:rPr>
        <w:t>Obchodní akademie, Podnikání, Veřejnosprávní činnost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EF374D" w:rsidRDefault="00EF374D" w:rsidP="00EF374D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Klíčová slova: </w:t>
      </w:r>
      <w:r>
        <w:rPr>
          <w:rFonts w:eastAsia="Times New Roman"/>
        </w:rPr>
        <w:t>opis textu na přesnost a rychlost, tabulky jednoduché a složité, záhlaví, zdroje údajů</w:t>
      </w:r>
    </w:p>
    <w:p w:rsidR="00EF374D" w:rsidRDefault="00EF374D" w:rsidP="00EF374D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Anotace: Materiály slouží nejen jako učební pomůcka</w:t>
      </w:r>
      <w:r w:rsidR="0032592B">
        <w:rPr>
          <w:b/>
          <w:color w:val="000000"/>
          <w:sz w:val="24"/>
          <w:szCs w:val="24"/>
        </w:rPr>
        <w:t xml:space="preserve">, ale zároveň jako pomůcka při </w:t>
      </w:r>
      <w:r>
        <w:rPr>
          <w:b/>
          <w:color w:val="000000"/>
          <w:sz w:val="24"/>
          <w:szCs w:val="24"/>
        </w:rPr>
        <w:t>přípravě na státní zkoušky nebo různé formy soutěží</w:t>
      </w:r>
      <w:r>
        <w:rPr>
          <w:b/>
          <w:color w:val="000000"/>
          <w:sz w:val="24"/>
          <w:szCs w:val="24"/>
        </w:rPr>
        <w:tab/>
      </w:r>
    </w:p>
    <w:p w:rsidR="00EF374D" w:rsidRDefault="00EF374D" w:rsidP="00EF374D">
      <w:pPr>
        <w:pStyle w:val="Bezmez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Druh učebního materiálu: </w:t>
      </w:r>
      <w:r>
        <w:rPr>
          <w:rFonts w:eastAsia="Times New Roman"/>
        </w:rPr>
        <w:t>tištěné texty a vzor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</w:p>
    <w:p w:rsidR="00EF374D" w:rsidRDefault="00EF374D" w:rsidP="00EF374D">
      <w:pPr>
        <w:pStyle w:val="Bezmezer"/>
        <w:ind w:left="3540" w:hanging="354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Očekávaný výstup: </w:t>
      </w:r>
      <w:r w:rsidR="00601490">
        <w:rPr>
          <w:rFonts w:eastAsia="Times New Roman"/>
        </w:rPr>
        <w:t xml:space="preserve">žák </w:t>
      </w:r>
      <w:r>
        <w:rPr>
          <w:rFonts w:eastAsia="Times New Roman"/>
        </w:rPr>
        <w:t>se trénuje v přesnosti a rychlosti opisu tištěných textů a je schopen po</w:t>
      </w:r>
      <w:r w:rsidR="00601490">
        <w:rPr>
          <w:rFonts w:eastAsia="Times New Roman"/>
        </w:rPr>
        <w:t xml:space="preserve">dle norem vypracovat přehledné </w:t>
      </w:r>
      <w:r>
        <w:rPr>
          <w:rFonts w:eastAsia="Times New Roman"/>
        </w:rPr>
        <w:t>a správné tabulky</w:t>
      </w:r>
      <w:r>
        <w:rPr>
          <w:b/>
          <w:color w:val="000000"/>
          <w:sz w:val="24"/>
          <w:szCs w:val="24"/>
        </w:rPr>
        <w:tab/>
      </w:r>
    </w:p>
    <w:p w:rsidR="00EF374D" w:rsidRDefault="00EF374D" w:rsidP="00EF374D">
      <w:pPr>
        <w:pStyle w:val="Bezmezer"/>
        <w:ind w:left="3540" w:hanging="3540"/>
        <w:rPr>
          <w:rFonts w:eastAsia="Times New Roman"/>
        </w:rPr>
      </w:pPr>
      <w:r>
        <w:rPr>
          <w:b/>
          <w:color w:val="000000"/>
          <w:sz w:val="24"/>
          <w:szCs w:val="24"/>
        </w:rPr>
        <w:t xml:space="preserve">Metodika učebního materiálu: </w:t>
      </w:r>
      <w:r>
        <w:rPr>
          <w:rFonts w:eastAsia="Times New Roman"/>
        </w:rPr>
        <w:t>každá ucelen</w:t>
      </w:r>
      <w:r w:rsidR="00601490">
        <w:rPr>
          <w:rFonts w:eastAsia="Times New Roman"/>
        </w:rPr>
        <w:t xml:space="preserve">á kapitola obsahuje na začátku </w:t>
      </w:r>
      <w:r>
        <w:rPr>
          <w:rFonts w:eastAsia="Times New Roman"/>
        </w:rPr>
        <w:t>písemnost pro žáky, kteří na její m základě potom vypracovávají jednotlivé úkoly.  Jedná se v první části o opisy na přesnost a ryc</w:t>
      </w:r>
      <w:r w:rsidR="0032592B">
        <w:rPr>
          <w:rFonts w:eastAsia="Times New Roman"/>
        </w:rPr>
        <w:t>hlost, kdy jednotliví vyučující</w:t>
      </w:r>
      <w:r>
        <w:rPr>
          <w:rFonts w:eastAsia="Times New Roman"/>
        </w:rPr>
        <w:t xml:space="preserve"> si podle vlastního uvážení zvolí </w:t>
      </w:r>
    </w:p>
    <w:p w:rsidR="00EF374D" w:rsidRDefault="00EF374D" w:rsidP="00EF374D">
      <w:pPr>
        <w:pStyle w:val="Bezmezer"/>
        <w:ind w:left="3540" w:hanging="3540"/>
        <w:rPr>
          <w:rFonts w:eastAsia="Times New Roman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        </w:t>
      </w:r>
      <w:r>
        <w:rPr>
          <w:color w:val="000000"/>
          <w:sz w:val="24"/>
          <w:szCs w:val="24"/>
        </w:rPr>
        <w:t>délku trvání opisu</w:t>
      </w:r>
      <w:r>
        <w:rPr>
          <w:b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a oznámkují ho podle daných pravidel. </w:t>
      </w:r>
      <w:r>
        <w:rPr>
          <w:rFonts w:eastAsia="Times New Roman"/>
        </w:rPr>
        <w:t xml:space="preserve">Dále ve druhé část </w:t>
      </w:r>
      <w:r w:rsidR="00601490">
        <w:rPr>
          <w:rFonts w:eastAsia="Times New Roman"/>
        </w:rPr>
        <w:t>je úkolem žáka vypracovat podle</w:t>
      </w:r>
      <w:r>
        <w:rPr>
          <w:rFonts w:eastAsia="Times New Roman"/>
        </w:rPr>
        <w:t xml:space="preserve"> norem tabulku s jednoduchým i složitým záhlavím a doplnit ji o patřičné údaje, které mají povinně obsahovat.</w:t>
      </w:r>
    </w:p>
    <w:p w:rsidR="00EF374D" w:rsidRDefault="00EF374D" w:rsidP="00EF374D">
      <w:pPr>
        <w:pStyle w:val="Bezmezer"/>
        <w:ind w:left="3540" w:hanging="3540"/>
        <w:rPr>
          <w:rFonts w:eastAsia="Times New Roman"/>
        </w:rPr>
      </w:pPr>
    </w:p>
    <w:p w:rsidR="00032DD7" w:rsidRDefault="00032DD7" w:rsidP="00032DD7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032DD7" w:rsidRDefault="00032DD7" w:rsidP="00032DD7">
      <w:pPr>
        <w:pStyle w:val="Nzev"/>
        <w:jc w:val="both"/>
        <w:rPr>
          <w:rFonts w:asciiTheme="minorHAnsi" w:eastAsiaTheme="minorHAnsi" w:hAnsiTheme="minorHAnsi" w:cstheme="minorBidi"/>
          <w:b w:val="0"/>
          <w:sz w:val="22"/>
          <w:szCs w:val="22"/>
          <w:u w:val="none"/>
          <w:lang w:eastAsia="en-US"/>
        </w:rPr>
      </w:pPr>
    </w:p>
    <w:p w:rsidR="00032DD7" w:rsidRDefault="00032DD7" w:rsidP="00032DD7">
      <w:pPr>
        <w:pStyle w:val="Nzev"/>
        <w:jc w:val="both"/>
        <w:rPr>
          <w:b w:val="0"/>
          <w:sz w:val="24"/>
          <w:u w:val="none"/>
        </w:rPr>
      </w:pPr>
    </w:p>
    <w:p w:rsidR="00032DD7" w:rsidRDefault="00032DD7" w:rsidP="00032DD7">
      <w:pPr>
        <w:pStyle w:val="Nzev"/>
        <w:jc w:val="both"/>
        <w:rPr>
          <w:b w:val="0"/>
          <w:sz w:val="24"/>
          <w:u w:val="none"/>
        </w:rPr>
      </w:pPr>
    </w:p>
    <w:p w:rsidR="00032DD7" w:rsidRDefault="00032DD7" w:rsidP="00032DD7">
      <w:pPr>
        <w:pStyle w:val="Nzev"/>
        <w:jc w:val="both"/>
        <w:rPr>
          <w:b w:val="0"/>
          <w:sz w:val="24"/>
          <w:u w:val="none"/>
        </w:rPr>
      </w:pPr>
    </w:p>
    <w:p w:rsidR="00032DD7" w:rsidRDefault="00032DD7" w:rsidP="00032DD7">
      <w:pPr>
        <w:pStyle w:val="Nzev"/>
        <w:jc w:val="both"/>
        <w:rPr>
          <w:b w:val="0"/>
          <w:sz w:val="24"/>
          <w:u w:val="none"/>
        </w:rPr>
      </w:pPr>
    </w:p>
    <w:p w:rsidR="00032DD7" w:rsidRDefault="00032DD7" w:rsidP="00032DD7">
      <w:pPr>
        <w:pStyle w:val="Nzev"/>
        <w:jc w:val="both"/>
        <w:rPr>
          <w:b w:val="0"/>
          <w:sz w:val="24"/>
          <w:u w:val="none"/>
        </w:rPr>
      </w:pPr>
    </w:p>
    <w:p w:rsidR="00032DD7" w:rsidRDefault="00032DD7" w:rsidP="00032DD7">
      <w:pPr>
        <w:pStyle w:val="Nzev"/>
        <w:jc w:val="both"/>
        <w:rPr>
          <w:b w:val="0"/>
          <w:sz w:val="24"/>
          <w:u w:val="none"/>
        </w:rPr>
      </w:pPr>
    </w:p>
    <w:p w:rsidR="00032DD7" w:rsidRDefault="00032DD7" w:rsidP="00032DD7">
      <w:pPr>
        <w:pStyle w:val="Nzev"/>
        <w:jc w:val="both"/>
        <w:rPr>
          <w:b w:val="0"/>
          <w:sz w:val="24"/>
          <w:u w:val="none"/>
        </w:rPr>
      </w:pPr>
    </w:p>
    <w:p w:rsidR="00B167B5" w:rsidRDefault="00B167B5" w:rsidP="00032DD7">
      <w:pPr>
        <w:pStyle w:val="Nzev"/>
        <w:jc w:val="both"/>
        <w:rPr>
          <w:b w:val="0"/>
          <w:sz w:val="24"/>
          <w:u w:val="none"/>
        </w:rPr>
      </w:pPr>
    </w:p>
    <w:p w:rsidR="00B167B5" w:rsidRDefault="002D0921" w:rsidP="00032DD7">
      <w:pPr>
        <w:pStyle w:val="Nzev"/>
        <w:jc w:val="both"/>
        <w:rPr>
          <w:b w:val="0"/>
          <w:sz w:val="24"/>
          <w:u w:val="none"/>
        </w:rPr>
      </w:pPr>
      <w:r w:rsidRPr="0021630F">
        <w:rPr>
          <w:rFonts w:asciiTheme="minorHAnsi" w:eastAsia="+mn-ea" w:hAnsiTheme="minorHAnsi"/>
          <w:b w:val="0"/>
          <w:sz w:val="24"/>
          <w:szCs w:val="24"/>
          <w:u w:val="none"/>
        </w:rPr>
        <w:t xml:space="preserve">Autorem materiálu a všech jeho příloh, není-li uvedeno jinak, je Ing. </w:t>
      </w:r>
      <w:r>
        <w:rPr>
          <w:rFonts w:asciiTheme="minorHAnsi" w:eastAsia="+mn-ea" w:hAnsiTheme="minorHAnsi"/>
          <w:b w:val="0"/>
          <w:sz w:val="24"/>
          <w:szCs w:val="24"/>
          <w:u w:val="none"/>
        </w:rPr>
        <w:t>Hana Illingerová</w:t>
      </w:r>
      <w:r w:rsidRPr="0021630F">
        <w:rPr>
          <w:rFonts w:asciiTheme="minorHAnsi" w:eastAsia="+mn-ea" w:hAnsiTheme="minorHAnsi"/>
          <w:b w:val="0"/>
          <w:sz w:val="24"/>
          <w:szCs w:val="24"/>
          <w:u w:val="none"/>
        </w:rPr>
        <w:t>.</w:t>
      </w:r>
    </w:p>
    <w:p w:rsidR="00B167B5" w:rsidRDefault="00B167B5" w:rsidP="00032DD7">
      <w:pPr>
        <w:pStyle w:val="Nzev"/>
        <w:jc w:val="both"/>
        <w:rPr>
          <w:b w:val="0"/>
          <w:sz w:val="24"/>
          <w:u w:val="none"/>
        </w:rPr>
      </w:pPr>
    </w:p>
    <w:p w:rsidR="00032DD7" w:rsidRDefault="00032DD7" w:rsidP="00B167B5">
      <w:pPr>
        <w:pStyle w:val="Nadpis3"/>
        <w:shd w:val="clear" w:color="auto" w:fill="FFFFFF"/>
      </w:pPr>
      <w:r>
        <w:lastRenderedPageBreak/>
        <w:t>Umění nakupovat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  <w:u w:val="single"/>
        </w:rPr>
      </w:pPr>
    </w:p>
    <w:p w:rsidR="00032DD7" w:rsidRDefault="00032DD7" w:rsidP="00B167B5">
      <w:pPr>
        <w:pStyle w:val="Nadpis2"/>
        <w:shd w:val="clear" w:color="auto" w:fill="FFFFFF"/>
      </w:pPr>
      <w:r>
        <w:t>Na rozdíl od malých obchůdku s omezeným sortimentem zboží mnohdy      64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nevalné kvality v nevábném balení nám dnešní velkoprodejny už        125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nabízejí sortiment nesrovnatelně bohatší. Zákazník by si však měl    190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dát pozor na triky obchodníků, kteří se snaží přimět kupujícího,     254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aby koupil i to, co původně vůbec nechtěl. Podbízejí se kvalitou     318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 cenou svého zboží, ale také využívají psychologických poznatků.    383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Supermarkety znemožňují nejkratší cestu od vstupu k pokladnám. Čím   449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déle totiž kupující v obchodě pobude, tím větší je naděje, že víc    514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nakoupí. Zboží, které chtějí obchodníci prodat nejdříve, umísťují    579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na regály, na které je vidět ze tří stran. Z konzerv stavějí často   654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pyramidy nebo je dávají na zvláštní stojany před regály. Dražší      708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zboží bývá obvykle po pravé ruce ve směru jízdy vozíku, protože      771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většina lidí jsou praváci a této strany si víc všímají. V příčných   837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policích leží drahé zboží čelně ke směru nákupu a levné výrobky      900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mají zákazníci za zády. Drahé zboží je umístěno ve výši očí, nad     964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ním luxusní a dole je levné, aby se k němu zájemce musel sehnout.   1029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Příkladem je prodej vína. Ten, kdo se sehne pro levnější druh       1090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vína, vypadá jako ignorant a neznalec. Teprve až zákazník mině      1152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většinu regálů, v nichž je zboží, které by si normálně nekoupil,    1216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dostane se k základním potravinám jako jsou mléčné výrobky, dále    1282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pečivo nebo pití. Ani tam snaha prodat za každou cenu nekončí.      1348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Vedle nich totiž leží tzv. zboží impulsivního nákupu. Lahůdky a     1411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cukrovinky mají podle obchodníků doplňovat a zpestřovat obyčejný    1475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nákup, zákazníkům však vytahují z kapsy další peníze. Největší      1537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nápor však přichází, když už se zdá, že je vyhráno. Konečně už      1599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kupující dotlačí svůj vozík k pokladně a zde musí vystát krátkou    1663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frontu. Vedoucí hypermarketů totiž regulují počet pokladen tak,     1726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aby zákazníci trochu čekali. Je to totiž poslední možnost, kdy      1788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mohou lapit oběti do nákupních sítí. Proto ještě zákazník musí      1854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uličkami se zdánlivými drobnostmi, jako jsou žvýkačky, čokolády,    1918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baterie nebo žiletky. I ty však něco stojí. Každý rodič přitom      1980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potvrdí, že právě zde vrcholí ze strany dětí boj o peníze rodičů.   2043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Stěží se dá totiž odolat každodennímu dětskému nátlaku zvláště      2105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 místech, kde se musí čekat a zároveň je plno nervozity před       2166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zaplacením. Kdo zná triky prodejců, může ušetřit. Ti nechávají      2228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občas v plných regálech volné místo, aby si zákazníci mysleli, že   2293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se zboží hodně nakupuje. Poloprázdný velký vozík totiž kontrastuje  2359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 policemi přetékajícími zbožím, že nutí zákazníka, aby si více     2422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nakoupil. Psychický rozpor mezi prázdným vozíkem a plnými regály    2486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doplňují i zrcadla po stranách chladících pultů a jiných místech.   2551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....,....1....,....2....,....3....,....4....,....5....,....6....,</w:t>
      </w:r>
    </w:p>
    <w:p w:rsidR="00B167B5" w:rsidRDefault="00B167B5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B167B5" w:rsidRDefault="00B167B5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32DD7" w:rsidRDefault="00032DD7" w:rsidP="00B167B5">
      <w:pPr>
        <w:pStyle w:val="Nadpis3"/>
        <w:shd w:val="clear" w:color="auto" w:fill="FFFFFF"/>
      </w:pPr>
      <w:r>
        <w:lastRenderedPageBreak/>
        <w:t>Papírové peníze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  <w:u w:val="single"/>
        </w:rPr>
      </w:pPr>
    </w:p>
    <w:p w:rsidR="00032DD7" w:rsidRDefault="00032DD7" w:rsidP="00B167B5">
      <w:pPr>
        <w:pStyle w:val="Nadpis2"/>
        <w:shd w:val="clear" w:color="auto" w:fill="FFFFFF"/>
      </w:pPr>
      <w:r>
        <w:t>Jestliže se chystáme platit papírovými penězi, málokdy vnímáme,       46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co je zdobí. Pokud jde o naše domácí bankovky, porovnáme jenom       128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letmo obraz na nich s tím, co máme v paměti. Ti nejpečlivější se     191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podívají ještě na vodoznak či jiné ochranné prvky. Pokud jde o       255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peníze cizí, hledáme hlavně jejich hodnotu v číslicích. Na víc       318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obvykle ani nemáme čas. Ale na bankovkách nejsou jen písmenka a      384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ornamenty. Od vzniku peněz jsou tam často velmi cenné výtvory        447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výtvarníků. Bývají to například podobizny slavných osobností,        510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obrazy hradů a zámků, případně význačných budov některých měst,      574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různé figurální motivy a také například různé motivy dopravních      638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prostředků. K výzdobě papírových peněz bylo například využito        701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obrázků lokomotiv, lodí, aut apod. Z historie víme, že první         763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papírové peníze na našem území se objevily už v druhé polovině       826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osmnáctého století, tedy za Rakouska. Zaváděly se proto, že na       891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jejich výrobu bylo třeba vynaložit daleko nižší náklady, než         952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třeba na mince. Lehké bankovky byly příjemnější i na přenášení.     1017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Skutečná kolébka těch nejstarších papírových peněz leží ovšem na    1083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čínském území. Bankovky zpočátku vyjadřovaly pouze tu hodnotu,      1147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kterou měly stanovenou nařízením státu, vrchnosti a podobně.        1208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Ochranné prvky byly přitom velice jednoduché. Proto se velmi        1271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často stávalo, že se objevovaly bankovky padělané. Stát proto       1334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musel vytvořit vysoce represivní aparát a vyhlásit přísné tresty    1399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za padělání. Leckde to byl dokonce i trest nejvyšší, to znamená     1464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trest smrti. Koncem devatenáctého století se však na bankovkách     1529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začaly objevovat stále kvalitnější a kvalitnější ochranné prvky.    1594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Podoba bankovky se rovněž začala rychle měnit. Už nevyjadřovala     1660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pouze hodnotu, ale byla zdobena také portréty, krajinami, dále      1723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technickými zařízeními, ovocem, zeleninou, květy atd. V té době     1788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se zdokonalily také tiskařské techniky. Ale po dobu existence       1851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papírových platidel trval všude stálý souboj mezi státem, tvůrci    1916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a padělateli. Jedním ze základních motivů, které určovaly náměty    1982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na bankovkách, byly mimo jiné i předměty a věci, které zásadním     2046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způsobem zasály do vývoje společnosti. Mezi důležité náměty,        2109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vyjadřující symboly zkrácení vzdálenosti ve světě, patřily také     2173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dopravní prostředky. Přímořské státy volily nejčastěji lodě,        2235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vnitrozemské zase vlaky, povozy, auta, ale i poštovní úřady jako    2300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symbol rychlého předávání zpráv. První podobné náměty, tedy např.   2367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obrázky lokomotiv, se začaly objevovat na americkém kontinentě.     2431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Mnohé bankovky devatenáctého století zobrazovaly lodě a parní       2494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lokomotivy. Dnes půjde tedy o obrázky vysokorychlostních souprav.   2561</w:t>
      </w: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32DD7" w:rsidRDefault="00032DD7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  <w:r>
        <w:rPr>
          <w:rFonts w:ascii="Courier" w:hAnsi="Courier"/>
          <w:sz w:val="24"/>
        </w:rPr>
        <w:t>....,....1....,....2....,....3....,....4....,....5....,....6....,</w:t>
      </w:r>
    </w:p>
    <w:p w:rsidR="00B167B5" w:rsidRDefault="00B167B5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B167B5" w:rsidRDefault="00B167B5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B167B5" w:rsidRDefault="00B167B5" w:rsidP="00B167B5">
      <w:pPr>
        <w:shd w:val="clear" w:color="auto" w:fill="FFFFFF"/>
        <w:spacing w:after="0" w:line="240" w:lineRule="auto"/>
        <w:rPr>
          <w:rFonts w:ascii="Courier" w:hAnsi="Courier"/>
          <w:sz w:val="24"/>
        </w:rPr>
      </w:pPr>
    </w:p>
    <w:p w:rsidR="00032DD7" w:rsidRDefault="00032DD7" w:rsidP="00B167B5">
      <w:pPr>
        <w:pStyle w:val="Zkladntext"/>
        <w:rPr>
          <w:u w:val="single"/>
        </w:rPr>
      </w:pPr>
      <w:r>
        <w:rPr>
          <w:u w:val="single"/>
        </w:rPr>
        <w:lastRenderedPageBreak/>
        <w:t>Ekologické zemědělství</w:t>
      </w:r>
    </w:p>
    <w:p w:rsidR="00032DD7" w:rsidRDefault="00032DD7" w:rsidP="00B167B5">
      <w:pPr>
        <w:pStyle w:val="Zkladntext"/>
      </w:pPr>
    </w:p>
    <w:p w:rsidR="00CB0EB5" w:rsidRDefault="00032DD7" w:rsidP="00CB0EB5">
      <w:pPr>
        <w:pStyle w:val="Zkladntext"/>
      </w:pPr>
      <w:r>
        <w:t xml:space="preserve">     Zpracujte porovnání ekologického zemědělství České republiky s některými zeměmi Evropské unie. V České republice hospodaří 563 farem na výměře půdy 165 699 ha, takže podíl ekofarem na zemědělské půdě (v %) je 3,86. Rakousko – 19 741; 287 900; 9. Itálie – </w:t>
      </w:r>
      <w:r w:rsidR="00CB0EB5">
        <w:t>49 018; 958 687; 6,5. Finsko – 5 200; 137 000; 6,3. Německo – 7 500; 416 500; 2,64. Španělsko – 12 291; 352 000; 1,4. Velká Británie – 1 356; 240 000; 1,2. Nizozemí – 1 216;  22 997; 1,15. Řecko – 4 231; 15 848; 0,47. Informace jste čerpali z Hospodářských novin z června minulého roku.</w:t>
      </w:r>
    </w:p>
    <w:p w:rsidR="00CB0EB5" w:rsidRDefault="00CB0EB5" w:rsidP="00CB0EB5">
      <w:pPr>
        <w:spacing w:after="0" w:line="240" w:lineRule="auto"/>
      </w:pPr>
    </w:p>
    <w:p w:rsidR="00CB0EB5" w:rsidRDefault="00CB0EB5" w:rsidP="00CB0EB5">
      <w:pPr>
        <w:pStyle w:val="Zkladntext"/>
      </w:pPr>
    </w:p>
    <w:p w:rsidR="00032DD7" w:rsidRDefault="00032DD7" w:rsidP="00B167B5">
      <w:pPr>
        <w:pStyle w:val="Zkladntext"/>
      </w:pPr>
    </w:p>
    <w:p w:rsidR="00F22CA3" w:rsidRDefault="00F22CA3" w:rsidP="00B167B5">
      <w:pPr>
        <w:spacing w:after="0" w:line="240" w:lineRule="auto"/>
      </w:pPr>
    </w:p>
    <w:sectPr w:rsidR="00F22CA3" w:rsidSect="00B167B5">
      <w:pgSz w:w="11906" w:h="16838"/>
      <w:pgMar w:top="1134" w:right="624" w:bottom="720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06B4" w:rsidRDefault="00A506B4" w:rsidP="003C1067">
      <w:pPr>
        <w:spacing w:after="0" w:line="240" w:lineRule="auto"/>
      </w:pPr>
      <w:r>
        <w:separator/>
      </w:r>
    </w:p>
  </w:endnote>
  <w:endnote w:type="continuationSeparator" w:id="1">
    <w:p w:rsidR="00A506B4" w:rsidRDefault="00A506B4" w:rsidP="003C10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06B4" w:rsidRDefault="00A506B4" w:rsidP="003C1067">
      <w:pPr>
        <w:spacing w:after="0" w:line="240" w:lineRule="auto"/>
      </w:pPr>
      <w:r>
        <w:separator/>
      </w:r>
    </w:p>
  </w:footnote>
  <w:footnote w:type="continuationSeparator" w:id="1">
    <w:p w:rsidR="00A506B4" w:rsidRDefault="00A506B4" w:rsidP="003C10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32DD7"/>
    <w:rsid w:val="00007054"/>
    <w:rsid w:val="00016F5D"/>
    <w:rsid w:val="00032DD7"/>
    <w:rsid w:val="001178D2"/>
    <w:rsid w:val="00164325"/>
    <w:rsid w:val="00244928"/>
    <w:rsid w:val="002D0921"/>
    <w:rsid w:val="002D633F"/>
    <w:rsid w:val="0032592B"/>
    <w:rsid w:val="00395B49"/>
    <w:rsid w:val="003C1067"/>
    <w:rsid w:val="00573220"/>
    <w:rsid w:val="00601490"/>
    <w:rsid w:val="00607042"/>
    <w:rsid w:val="0069690A"/>
    <w:rsid w:val="00711C98"/>
    <w:rsid w:val="00800356"/>
    <w:rsid w:val="008354D6"/>
    <w:rsid w:val="00845F0D"/>
    <w:rsid w:val="008C204D"/>
    <w:rsid w:val="00931344"/>
    <w:rsid w:val="009D5AD2"/>
    <w:rsid w:val="009E0211"/>
    <w:rsid w:val="00A27414"/>
    <w:rsid w:val="00A506B4"/>
    <w:rsid w:val="00B167B5"/>
    <w:rsid w:val="00B87483"/>
    <w:rsid w:val="00B9216E"/>
    <w:rsid w:val="00CB0EB5"/>
    <w:rsid w:val="00CD7E97"/>
    <w:rsid w:val="00D4625F"/>
    <w:rsid w:val="00DB1B95"/>
    <w:rsid w:val="00DF0614"/>
    <w:rsid w:val="00E2082F"/>
    <w:rsid w:val="00E6019A"/>
    <w:rsid w:val="00EF14E2"/>
    <w:rsid w:val="00EF374D"/>
    <w:rsid w:val="00F22A8A"/>
    <w:rsid w:val="00F22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2DD7"/>
  </w:style>
  <w:style w:type="paragraph" w:styleId="Nadpis2">
    <w:name w:val="heading 2"/>
    <w:basedOn w:val="Normln"/>
    <w:next w:val="Normln"/>
    <w:link w:val="Nadpis2Char"/>
    <w:qFormat/>
    <w:rsid w:val="00032DD7"/>
    <w:pPr>
      <w:keepNext/>
      <w:spacing w:after="0" w:line="240" w:lineRule="auto"/>
      <w:outlineLvl w:val="1"/>
    </w:pPr>
    <w:rPr>
      <w:rFonts w:ascii="Courier" w:eastAsia="Times New Roman" w:hAnsi="Courier" w:cs="Times New Roman"/>
      <w:sz w:val="24"/>
      <w:szCs w:val="20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032DD7"/>
    <w:pPr>
      <w:keepNext/>
      <w:spacing w:after="0" w:line="240" w:lineRule="auto"/>
      <w:outlineLvl w:val="2"/>
    </w:pPr>
    <w:rPr>
      <w:rFonts w:ascii="Courier" w:eastAsia="Times New Roman" w:hAnsi="Courier" w:cs="Times New Roman"/>
      <w:sz w:val="24"/>
      <w:szCs w:val="20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032DD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character" w:customStyle="1" w:styleId="NzevChar">
    <w:name w:val="Název Char"/>
    <w:basedOn w:val="Standardnpsmoodstavce"/>
    <w:link w:val="Nzev"/>
    <w:rsid w:val="00032DD7"/>
    <w:rPr>
      <w:rFonts w:ascii="Times New Roman" w:eastAsia="Times New Roman" w:hAnsi="Times New Roman" w:cs="Times New Roman"/>
      <w:b/>
      <w:sz w:val="32"/>
      <w:szCs w:val="20"/>
      <w:u w:val="single"/>
      <w:lang w:eastAsia="cs-CZ"/>
    </w:rPr>
  </w:style>
  <w:style w:type="paragraph" w:styleId="Bezmezer">
    <w:name w:val="No Spacing"/>
    <w:uiPriority w:val="1"/>
    <w:qFormat/>
    <w:rsid w:val="00032DD7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2D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2DD7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032DD7"/>
    <w:rPr>
      <w:rFonts w:ascii="Courier" w:eastAsia="Times New Roman" w:hAnsi="Courier" w:cs="Times New Roman"/>
      <w:sz w:val="24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032DD7"/>
    <w:rPr>
      <w:rFonts w:ascii="Courier" w:eastAsia="Times New Roman" w:hAnsi="Courier" w:cs="Times New Roman"/>
      <w:sz w:val="24"/>
      <w:szCs w:val="20"/>
      <w:u w:val="single"/>
      <w:lang w:eastAsia="cs-CZ"/>
    </w:rPr>
  </w:style>
  <w:style w:type="paragraph" w:styleId="Zkladntext">
    <w:name w:val="Body Text"/>
    <w:basedOn w:val="Normln"/>
    <w:link w:val="ZkladntextChar"/>
    <w:rsid w:val="00032DD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032DD7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3C10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C1067"/>
  </w:style>
  <w:style w:type="paragraph" w:styleId="Zpat">
    <w:name w:val="footer"/>
    <w:basedOn w:val="Normln"/>
    <w:link w:val="ZpatChar"/>
    <w:uiPriority w:val="99"/>
    <w:semiHidden/>
    <w:unhideWhenUsed/>
    <w:rsid w:val="003C10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C10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9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1206</Words>
  <Characters>7119</Characters>
  <Application>Microsoft Office Word</Application>
  <DocSecurity>0</DocSecurity>
  <Lines>59</Lines>
  <Paragraphs>16</Paragraphs>
  <ScaleCrop>false</ScaleCrop>
  <Company/>
  <LinksUpToDate>false</LinksUpToDate>
  <CharactersWithSpaces>8309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babicky</cp:lastModifiedBy>
  <cp:revision>22</cp:revision>
  <dcterms:created xsi:type="dcterms:W3CDTF">2013-07-03T06:46:00Z</dcterms:created>
  <dcterms:modified xsi:type="dcterms:W3CDTF">2014-01-21T20:00:00Z</dcterms:modified>
</cp:coreProperties>
</file>