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59B" w:rsidRDefault="009C51A1" w:rsidP="0082359B">
      <w:pPr>
        <w:pStyle w:val="Bezmezer"/>
        <w:rPr>
          <w:b/>
        </w:rPr>
      </w:pPr>
      <w:r>
        <w:rPr>
          <w:noProof/>
          <w:lang w:eastAsia="cs-CZ"/>
        </w:rPr>
        <w:drawing>
          <wp:inline distT="0" distB="0" distL="0" distR="0">
            <wp:extent cx="5753100" cy="1362075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9C51A1" w:rsidRPr="000C558A" w:rsidTr="00F92306">
        <w:tc>
          <w:tcPr>
            <w:tcW w:w="9212" w:type="dxa"/>
          </w:tcPr>
          <w:p w:rsidR="009C51A1" w:rsidRPr="000C558A" w:rsidRDefault="009C51A1" w:rsidP="00F9230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9C51A1" w:rsidRPr="000C558A" w:rsidRDefault="009C51A1" w:rsidP="00F9230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Vzdělávání pro konkurenceschopnost</w:t>
            </w:r>
          </w:p>
          <w:p w:rsidR="009C51A1" w:rsidRPr="000C558A" w:rsidRDefault="009C51A1" w:rsidP="00F9230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9C51A1" w:rsidRPr="000C558A" w:rsidTr="00F92306">
        <w:trPr>
          <w:trHeight w:val="875"/>
        </w:trPr>
        <w:tc>
          <w:tcPr>
            <w:tcW w:w="9212" w:type="dxa"/>
            <w:vAlign w:val="center"/>
          </w:tcPr>
          <w:p w:rsidR="009C51A1" w:rsidRPr="000C558A" w:rsidRDefault="009C51A1" w:rsidP="00F9230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52475"/>
                  <wp:effectExtent l="19050" t="0" r="0" b="0"/>
                  <wp:docPr id="4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51A1" w:rsidRPr="000C558A" w:rsidTr="00F92306">
        <w:tc>
          <w:tcPr>
            <w:tcW w:w="9212" w:type="dxa"/>
          </w:tcPr>
          <w:p w:rsidR="009C51A1" w:rsidRPr="000C558A" w:rsidRDefault="009C51A1" w:rsidP="00F9230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9C51A1" w:rsidRDefault="009C51A1" w:rsidP="0082359B">
      <w:pPr>
        <w:pStyle w:val="Bezmezer"/>
        <w:rPr>
          <w:b/>
        </w:rPr>
      </w:pPr>
    </w:p>
    <w:p w:rsidR="0085441E" w:rsidRDefault="0085441E" w:rsidP="0085441E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Číslo a název klíčové aktivity: </w:t>
      </w:r>
      <w:r>
        <w:rPr>
          <w:bCs/>
          <w:iCs/>
          <w:sz w:val="24"/>
          <w:szCs w:val="24"/>
        </w:rPr>
        <w:t xml:space="preserve">III/2 Inovace a zkvalitnění výuky prostřednictvím ICT </w:t>
      </w:r>
    </w:p>
    <w:p w:rsidR="0085441E" w:rsidRDefault="0085441E" w:rsidP="0085441E">
      <w:pPr>
        <w:pStyle w:val="Bezmezer"/>
        <w:ind w:left="3540" w:hanging="3540"/>
        <w:rPr>
          <w:color w:val="000000"/>
          <w:sz w:val="20"/>
          <w:szCs w:val="20"/>
        </w:rPr>
      </w:pPr>
      <w:r>
        <w:rPr>
          <w:b/>
          <w:color w:val="000000"/>
          <w:sz w:val="24"/>
          <w:szCs w:val="24"/>
        </w:rPr>
        <w:t xml:space="preserve">Číslo DUM: </w:t>
      </w:r>
      <w:r w:rsidR="00F92306">
        <w:rPr>
          <w:color w:val="000000"/>
          <w:sz w:val="20"/>
          <w:szCs w:val="20"/>
        </w:rPr>
        <w:t>VY_32_INOVACE_32Igo8</w:t>
      </w:r>
    </w:p>
    <w:p w:rsidR="0082359B" w:rsidRDefault="0085441E" w:rsidP="0085441E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244685">
        <w:rPr>
          <w:b/>
          <w:color w:val="000000"/>
          <w:sz w:val="24"/>
          <w:szCs w:val="24"/>
        </w:rPr>
        <w:t>Název DUM:</w:t>
      </w:r>
      <w:r w:rsidR="00D813D9">
        <w:rPr>
          <w:b/>
          <w:color w:val="000000"/>
          <w:sz w:val="24"/>
          <w:szCs w:val="24"/>
        </w:rPr>
        <w:t xml:space="preserve"> </w:t>
      </w:r>
      <w:r w:rsidR="00D813D9">
        <w:rPr>
          <w:rFonts w:ascii="Times New Roman" w:hAnsi="Times New Roman"/>
          <w:bCs/>
        </w:rPr>
        <w:t>Text, tabulka č. 8.</w:t>
      </w:r>
      <w:r w:rsidR="0082359B">
        <w:rPr>
          <w:b/>
          <w:color w:val="000000"/>
          <w:sz w:val="24"/>
          <w:szCs w:val="24"/>
        </w:rPr>
        <w:tab/>
      </w:r>
      <w:r w:rsidR="0082359B">
        <w:rPr>
          <w:b/>
          <w:color w:val="000000"/>
          <w:sz w:val="24"/>
          <w:szCs w:val="24"/>
        </w:rPr>
        <w:tab/>
      </w:r>
      <w:r w:rsidR="0082359B">
        <w:rPr>
          <w:b/>
          <w:color w:val="000000"/>
          <w:sz w:val="24"/>
          <w:szCs w:val="24"/>
        </w:rPr>
        <w:tab/>
      </w:r>
      <w:r w:rsidR="0082359B">
        <w:rPr>
          <w:b/>
          <w:color w:val="000000"/>
          <w:sz w:val="24"/>
          <w:szCs w:val="24"/>
        </w:rPr>
        <w:tab/>
      </w:r>
    </w:p>
    <w:p w:rsidR="0082359B" w:rsidRDefault="0082359B" w:rsidP="0082359B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Jméno autora: </w:t>
      </w:r>
      <w:r>
        <w:rPr>
          <w:color w:val="000000"/>
          <w:sz w:val="24"/>
          <w:szCs w:val="24"/>
        </w:rPr>
        <w:t>Ing. Hana Illingerová</w:t>
      </w:r>
      <w:r>
        <w:rPr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82359B" w:rsidRDefault="0082359B" w:rsidP="0082359B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Datum (období) vytvoření DUM: </w:t>
      </w:r>
      <w:r>
        <w:rPr>
          <w:rFonts w:eastAsia="Times New Roman"/>
        </w:rPr>
        <w:t>jaro, léto 2013</w:t>
      </w:r>
      <w:r>
        <w:rPr>
          <w:b/>
          <w:color w:val="000000"/>
          <w:sz w:val="24"/>
          <w:szCs w:val="24"/>
        </w:rPr>
        <w:tab/>
      </w:r>
    </w:p>
    <w:p w:rsidR="0082359B" w:rsidRDefault="0082359B" w:rsidP="0082359B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Ročník: 1., 2., 3., 4.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82359B" w:rsidRDefault="0082359B" w:rsidP="0082359B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oblast: </w:t>
      </w:r>
      <w:r>
        <w:rPr>
          <w:rFonts w:eastAsia="Times New Roman"/>
        </w:rPr>
        <w:t>písemná a elektronická komunikace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82359B" w:rsidRDefault="0082359B" w:rsidP="0082359B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obor: </w:t>
      </w:r>
      <w:r>
        <w:rPr>
          <w:rFonts w:eastAsia="Times New Roman"/>
        </w:rPr>
        <w:t>Obchodní akademie, Podnikání, Veřejnosprávní činnost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82359B" w:rsidRDefault="0082359B" w:rsidP="0082359B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Klíčová slova: </w:t>
      </w:r>
      <w:r>
        <w:rPr>
          <w:rFonts w:eastAsia="Times New Roman"/>
        </w:rPr>
        <w:t>opis textu na přesnost a rychlost, tabulky jednoduché a složité, záhlaví, zdroje údajů</w:t>
      </w:r>
    </w:p>
    <w:p w:rsidR="0082359B" w:rsidRDefault="0082359B" w:rsidP="0082359B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Anotace: Materiály slouží nejen jako učební pomůck</w:t>
      </w:r>
      <w:r w:rsidR="001D0BF7">
        <w:rPr>
          <w:b/>
          <w:color w:val="000000"/>
          <w:sz w:val="24"/>
          <w:szCs w:val="24"/>
        </w:rPr>
        <w:t>a, ale zároveň jako pomůcka při</w:t>
      </w:r>
      <w:r>
        <w:rPr>
          <w:b/>
          <w:color w:val="000000"/>
          <w:sz w:val="24"/>
          <w:szCs w:val="24"/>
        </w:rPr>
        <w:t xml:space="preserve"> přípravě na státní zkoušky nebo různé formy soutěží</w:t>
      </w:r>
      <w:r>
        <w:rPr>
          <w:b/>
          <w:color w:val="000000"/>
          <w:sz w:val="24"/>
          <w:szCs w:val="24"/>
        </w:rPr>
        <w:tab/>
      </w:r>
    </w:p>
    <w:p w:rsidR="0082359B" w:rsidRDefault="0082359B" w:rsidP="0082359B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Druh učebního materiálu: </w:t>
      </w:r>
      <w:r>
        <w:rPr>
          <w:rFonts w:eastAsia="Times New Roman"/>
        </w:rPr>
        <w:t>tištěné texty a vzor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82359B" w:rsidRDefault="0082359B" w:rsidP="0082359B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Očekávaný výstup: </w:t>
      </w:r>
      <w:r w:rsidR="001D0BF7">
        <w:rPr>
          <w:rFonts w:eastAsia="Times New Roman"/>
        </w:rPr>
        <w:t>žák</w:t>
      </w:r>
      <w:r>
        <w:rPr>
          <w:rFonts w:eastAsia="Times New Roman"/>
        </w:rPr>
        <w:t xml:space="preserve"> se trénuje v přesnosti a rychlosti opisu tištěných textů a je schopen podle norem vypracovat přehledné  a správné tabulky</w:t>
      </w:r>
      <w:r>
        <w:rPr>
          <w:b/>
          <w:color w:val="000000"/>
          <w:sz w:val="24"/>
          <w:szCs w:val="24"/>
        </w:rPr>
        <w:tab/>
      </w:r>
    </w:p>
    <w:p w:rsidR="0082359B" w:rsidRDefault="0082359B" w:rsidP="0082359B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rFonts w:eastAsia="Times New Roman"/>
        </w:rPr>
        <w:t>každá ucelen</w:t>
      </w:r>
      <w:r w:rsidR="001D0BF7">
        <w:rPr>
          <w:rFonts w:eastAsia="Times New Roman"/>
        </w:rPr>
        <w:t xml:space="preserve">á kapitola obsahuje na začátku </w:t>
      </w:r>
      <w:r>
        <w:rPr>
          <w:rFonts w:eastAsia="Times New Roman"/>
        </w:rPr>
        <w:t>písemnost pro žáky, kteří na její m základě potom vypracovávají jednotlivé úkoly.  Jedná se v první části o opisy na přesnost a ryc</w:t>
      </w:r>
      <w:r w:rsidR="001D0BF7">
        <w:rPr>
          <w:rFonts w:eastAsia="Times New Roman"/>
        </w:rPr>
        <w:t>hlost, kdy jednotliví vyučující</w:t>
      </w:r>
      <w:r>
        <w:rPr>
          <w:rFonts w:eastAsia="Times New Roman"/>
        </w:rPr>
        <w:t xml:space="preserve"> si podle vlastního uvážení zvolí </w:t>
      </w:r>
    </w:p>
    <w:p w:rsidR="0082359B" w:rsidRDefault="0082359B" w:rsidP="0082359B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</w:t>
      </w:r>
      <w:r>
        <w:rPr>
          <w:color w:val="000000"/>
          <w:sz w:val="24"/>
          <w:szCs w:val="24"/>
        </w:rPr>
        <w:t>délku trvání opisu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a oznámkují ho podle daných pravidel. </w:t>
      </w:r>
      <w:r>
        <w:rPr>
          <w:rFonts w:eastAsia="Times New Roman"/>
        </w:rPr>
        <w:t>Dále ve druhé část je úkolem žáka vypracovat</w:t>
      </w:r>
      <w:r w:rsidR="001D0BF7">
        <w:rPr>
          <w:rFonts w:eastAsia="Times New Roman"/>
        </w:rPr>
        <w:t xml:space="preserve"> podle </w:t>
      </w:r>
      <w:r>
        <w:rPr>
          <w:rFonts w:eastAsia="Times New Roman"/>
        </w:rPr>
        <w:t>norem tabulku s jednoduchým i složitým záhlavím a doplnit ji o patřičné údaje, které mají povinně obsahovat.</w:t>
      </w:r>
    </w:p>
    <w:p w:rsidR="0082359B" w:rsidRDefault="0082359B" w:rsidP="0082359B">
      <w:pPr>
        <w:pStyle w:val="Bezmezer"/>
        <w:ind w:left="3540" w:hanging="3540"/>
        <w:rPr>
          <w:rFonts w:eastAsia="Times New Roman"/>
        </w:rPr>
      </w:pPr>
    </w:p>
    <w:p w:rsidR="00870DEE" w:rsidRDefault="00870DEE" w:rsidP="00870DEE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870DEE" w:rsidRDefault="00870DEE" w:rsidP="00870DEE">
      <w:pPr>
        <w:pStyle w:val="Nzev"/>
        <w:jc w:val="both"/>
        <w:rPr>
          <w:b w:val="0"/>
          <w:sz w:val="24"/>
          <w:u w:val="none"/>
        </w:rPr>
      </w:pPr>
    </w:p>
    <w:p w:rsidR="00870DEE" w:rsidRDefault="00870DEE" w:rsidP="00870DEE">
      <w:pPr>
        <w:pStyle w:val="Nzev"/>
        <w:jc w:val="both"/>
        <w:rPr>
          <w:b w:val="0"/>
          <w:sz w:val="24"/>
          <w:u w:val="none"/>
        </w:rPr>
      </w:pPr>
    </w:p>
    <w:p w:rsidR="00870DEE" w:rsidRDefault="00870DEE" w:rsidP="00870DEE">
      <w:pPr>
        <w:pStyle w:val="Nzev"/>
        <w:jc w:val="both"/>
        <w:rPr>
          <w:b w:val="0"/>
          <w:sz w:val="24"/>
          <w:u w:val="none"/>
        </w:rPr>
      </w:pPr>
    </w:p>
    <w:p w:rsidR="00870DEE" w:rsidRDefault="00870DEE" w:rsidP="00870DEE">
      <w:pPr>
        <w:pStyle w:val="Nzev"/>
        <w:jc w:val="both"/>
        <w:rPr>
          <w:b w:val="0"/>
          <w:sz w:val="24"/>
          <w:u w:val="none"/>
        </w:rPr>
      </w:pPr>
    </w:p>
    <w:p w:rsidR="00870DEE" w:rsidRDefault="00870DEE" w:rsidP="00870DEE">
      <w:pPr>
        <w:pStyle w:val="Nzev"/>
        <w:jc w:val="both"/>
        <w:rPr>
          <w:b w:val="0"/>
          <w:sz w:val="24"/>
          <w:u w:val="none"/>
        </w:rPr>
      </w:pPr>
    </w:p>
    <w:p w:rsidR="00870DEE" w:rsidRDefault="00870DEE" w:rsidP="00870DEE">
      <w:pPr>
        <w:pStyle w:val="Nzev"/>
        <w:jc w:val="both"/>
        <w:rPr>
          <w:b w:val="0"/>
          <w:sz w:val="24"/>
          <w:u w:val="none"/>
        </w:rPr>
      </w:pPr>
    </w:p>
    <w:p w:rsidR="0041555B" w:rsidRDefault="00373F77" w:rsidP="00870DEE">
      <w:pPr>
        <w:pStyle w:val="Nzev"/>
        <w:jc w:val="both"/>
        <w:rPr>
          <w:b w:val="0"/>
          <w:sz w:val="24"/>
          <w:u w:val="none"/>
        </w:rPr>
      </w:pP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 xml:space="preserve">Autorem materiálu a všech jeho příloh, není-li uvedeno jinak, je Ing. </w:t>
      </w:r>
      <w:r>
        <w:rPr>
          <w:rFonts w:asciiTheme="minorHAnsi" w:eastAsia="+mn-ea" w:hAnsiTheme="minorHAnsi"/>
          <w:b w:val="0"/>
          <w:sz w:val="24"/>
          <w:szCs w:val="24"/>
          <w:u w:val="none"/>
        </w:rPr>
        <w:t>Hana Illingerová</w:t>
      </w: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>.</w:t>
      </w:r>
    </w:p>
    <w:p w:rsidR="0041555B" w:rsidRDefault="0041555B" w:rsidP="00870DEE">
      <w:pPr>
        <w:pStyle w:val="Nzev"/>
        <w:jc w:val="both"/>
        <w:rPr>
          <w:b w:val="0"/>
          <w:sz w:val="24"/>
          <w:u w:val="none"/>
        </w:rPr>
      </w:pPr>
    </w:p>
    <w:p w:rsidR="0041555B" w:rsidRDefault="0041555B" w:rsidP="00870DEE">
      <w:pPr>
        <w:pStyle w:val="Nzev"/>
        <w:jc w:val="both"/>
        <w:rPr>
          <w:b w:val="0"/>
          <w:sz w:val="24"/>
          <w:u w:val="none"/>
        </w:rPr>
      </w:pPr>
    </w:p>
    <w:p w:rsidR="0041555B" w:rsidRDefault="0041555B" w:rsidP="00870DEE">
      <w:pPr>
        <w:pStyle w:val="Nzev"/>
        <w:jc w:val="both"/>
        <w:rPr>
          <w:b w:val="0"/>
          <w:sz w:val="24"/>
          <w:u w:val="none"/>
        </w:rPr>
      </w:pPr>
    </w:p>
    <w:p w:rsidR="00870DEE" w:rsidRDefault="00870DEE" w:rsidP="00870DEE">
      <w:pPr>
        <w:pStyle w:val="Nzev"/>
        <w:jc w:val="both"/>
        <w:rPr>
          <w:b w:val="0"/>
          <w:sz w:val="24"/>
          <w:u w:val="none"/>
        </w:rPr>
      </w:pPr>
    </w:p>
    <w:p w:rsidR="00870DEE" w:rsidRDefault="00870DEE" w:rsidP="00870DEE">
      <w:pPr>
        <w:pStyle w:val="Nadpis3"/>
        <w:shd w:val="clear" w:color="auto" w:fill="FFFFFF"/>
      </w:pPr>
      <w:r>
        <w:lastRenderedPageBreak/>
        <w:t>Finsko – země nejen tisíce jezer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870DEE" w:rsidRDefault="00870DEE" w:rsidP="0041555B">
      <w:pPr>
        <w:pStyle w:val="Nadpis2"/>
        <w:shd w:val="clear" w:color="auto" w:fill="FFFFFF"/>
      </w:pPr>
      <w:r>
        <w:t>Naše představy o Finsku se obvykle skládají z mozaiky, jejíž          63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tradiční prvky, jako je finská sauna či představa země tisíce        125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jezer, začínají z našeho povědomí pomalu vytlačovat obchodní         186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značky spotřebních symbolů moderní doby – mobilních telefonů         247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Nokia, nábytku Asko či vodky Finlandia. Sportovně založeným se       314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při vyslovení jména této skandinávské země zcela přirozeně vybaví    380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úspěchy finských sportovců, milovníkům přírody vytane na mysli       443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představa nedotčené panenské přírody s ohromným množstvím jezer,     508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romantikům zase představa polární záře a nejkrásnějších západů       571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slunce, kulturněji orientovaným pak finská moderní architektura      635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užité umění. Na jednu zemi je té chvály a zajímavostí opravdu      700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více než dost, avšak cesta tohoto malého houževnatého národa         761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 mezinárodním úspěchům a ekonomickému blahobytu nebyla nikterak     826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jednoduchá. Ba právě naopak. Finsko zaujímá zvláštní postavení ve    894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skandinávském i evropském prostoru, což je dáno jeho zeměpisnou      958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polohou a pohnutou historií. Finsko ovlivňovali v celé historii     1025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jeho mocní sousedé – Švédsko a Rusko. Z tohoto důvodu bylo od       1092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samého počátku vystaveno dvěma různým kulturním vlivům – na jedné   1158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straně západní kultuře, zprostředkované zprvu švédskou katolickou   1224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církví, po reformaci švédské církve luteránstvím, na druhé straně   1290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 Finska od východu pronikala ortodoxní církev z Ruska. Když se    1358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Finsko po švédské nadvládě, která trvala téměř sedm set let,        1420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stalo součástí carského Ruska a kromě autonomie získalo také        1482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vlastní samosprávu a administrativu, došlo k celkovému rozvoji      1545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společnosti a industrializaci země. Vzrůstající národní cítění      1609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spolu s evropskými romantickými proudy podpořilo ve Finsku ideály   1676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vlastenectví. Finské bohaté, avšak často bouřlivé dějiny nám        1738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odhalují finské budovy: ortodoxní chrámy s cibulovitými střechami   1805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vypovídají o dnech, kdy bylo Finsko částí Ruska, zatímco pevnosti   1873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jako hrad Suomenlinna pamatují staletí švédské vlády. Navštívit     1938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Finsko je jako vstoupit v horkém dni do chladivé a osvěžující       2001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sprchy. Dokonce i v hlavním městě Helsinkách je vzduch čistý.       2065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Finský venkov je chladný, ale půvabný. Západní pobřeží lemují       2129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nespočetné ostrovy a ostrůvky,zatímco jižní oblast Saimaa je        2192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smáčena množstvím safírových jezer. V oblasti Kuusamo najdeme       2255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staré lesy, po kterých se toulají medvědi a vlci, kde lišejníky     2319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obrostlé stromy lemují značkované turistické stezky. A na severu    2385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 Laponsku ještě stále pečují důmyslní původní obyvatele o sobí     2450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stáda – to ovšem jen tehdy, nesurfují-li zrovna na Internetu.       2513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Finsko je totiž jednou z nejvíce „připojených“zemí na světě.        2578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41555B" w:rsidRDefault="0041555B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41555B" w:rsidRDefault="0041555B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70DEE" w:rsidRDefault="00870DEE" w:rsidP="0041555B">
      <w:pPr>
        <w:pStyle w:val="Nadpis3"/>
        <w:shd w:val="clear" w:color="auto" w:fill="FFFFFF"/>
      </w:pPr>
      <w:r>
        <w:lastRenderedPageBreak/>
        <w:t>Lékařská péče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870DEE" w:rsidRDefault="00870DEE" w:rsidP="0041555B">
      <w:pPr>
        <w:pStyle w:val="Nadpis2"/>
        <w:shd w:val="clear" w:color="auto" w:fill="FFFFFF"/>
      </w:pPr>
      <w:r>
        <w:t>Lidé chtějí nadstandardní lékařskou péči, ale nehodlají ji hradit     67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pomocí sponzorských darů, jak tomu bylo doposud. Ukázaly to jasně    134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výzkumy veřejného mínění. Do nadstandardní péče počítáme jednak      199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zvláštní služby, jednak speciální výkony. Na internetové stránce     265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Lékařské komory je k nahlédnutí katalog nadstandardní péče. Dosud    333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převažují v několika desítkách položek služby, například návštěva    399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 nemocného mimo ordinaci, konzultace po telefonu, individuální      463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poradenství a programy jako úprava životosprávy, stanovení diety,    529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stanovení stresového prahu a podobně. Za nadstandardní se dnes       593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považuje také vystavení potvrzení a výpisu z dokumentace na přání    659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pacienta nebo speciální vyšetření, např. způsobilosti k určitým      723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povoláním či sportům. Nabízejí se odborná vyšetření prováděná na     789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žádost pacienta, nebo prováděná častěji, než stanoví pojištění.      853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Jde například o sonografii, mamografii, vyšetření krve. Zařazení     920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těchto služeb do zvláštní péče je pochopitelné. Jsou totiž časově    987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náročné a nákladné a přímo nesouvisí s léčením. Zvláštních výkonů   1054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 v katalogu podstatně méně než služeb. Jsou to třeba výkony       1117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plastické a kosmetické chirurgie, aplikace kontaktních čoček nebo   1183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antikoncepce. Pacient se dnes může setkat se třemi modely úhrady    1249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lékařské péče a zdravotnických služeb. První je nejjednodušší.      1313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Lékař nabízí jen péči plně hrazenou ze zdravotního pojištění. Ve    1380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druhém případě si pacient hradí všechno sám, protože jeho lékař     1444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nemá smlouvu s žádným ústavem, který hradí ošetření z pojistného.   1510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 tomto případě se pacientům předem předkládá seznam lékařem        1572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nabízených výkonů a služeb i s ceníkem. Třetí typ úhrady je pak     1637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smíšený. To znamená, že lékař nabízí jak standardní péči hrazenou   1704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 zdravotního pojištění, tak i péči nadstandardní, kterou si       1766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zájemce plně hradí sám. Nadstandardní péči nelze pojistit. Taková   1834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péče zahrnuje mnoho možností, je to příliš široký pojem a proto     1898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 hlediska pojištění není přesně definována. Její pojištění by      1962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 klienty v současné době bylo patrně příliš drahé, protože by    2027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bylo velmi riskantní pro finanční ústavy. Ještě před nástupem na    2093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léčení by měl každý pacient dostat přesnou informaci o tom, co se   2159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hradí ze zdravotního pojištění a co se nabízí za úhradu. Ceny       2222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zdravotnických zařízení budou různé podle očekávaných nákladů na    2287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léčení. Lékařská komora doporučila, aby se při stanovení zvláštní   2354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úhrady vycházelo z hodinového honoráře lékaře ve výši pěti set      2417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korun. Rozšíření nabídky lékařské péče je dalším významným krokem   2484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ke zlepšení úrovně našeho života. Předpokladem ovšem je, aby        2546</w:t>
      </w:r>
    </w:p>
    <w:p w:rsidR="00870DEE" w:rsidRDefault="00870DEE" w:rsidP="0041555B">
      <w:pPr>
        <w:shd w:val="clear" w:color="auto" w:fill="FFFFFF"/>
        <w:spacing w:after="0" w:line="240" w:lineRule="auto"/>
      </w:pPr>
      <w:r>
        <w:rPr>
          <w:rFonts w:ascii="Courier" w:hAnsi="Courier"/>
          <w:sz w:val="24"/>
        </w:rPr>
        <w:t>standardní péče byla každému poskytována bezplatně a kvalitně.      2608</w:t>
      </w: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70DEE" w:rsidRDefault="00870DEE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41555B" w:rsidRDefault="0041555B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41555B" w:rsidRDefault="0041555B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41555B" w:rsidRDefault="0041555B" w:rsidP="0041555B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870DEE" w:rsidRDefault="00870DEE" w:rsidP="0041555B">
      <w:pPr>
        <w:pStyle w:val="Zkladntext"/>
        <w:rPr>
          <w:u w:val="single"/>
        </w:rPr>
      </w:pPr>
      <w:r>
        <w:rPr>
          <w:u w:val="single"/>
        </w:rPr>
        <w:lastRenderedPageBreak/>
        <w:t>Platy učitelů</w:t>
      </w:r>
    </w:p>
    <w:p w:rsidR="00870DEE" w:rsidRDefault="00870DEE" w:rsidP="0041555B">
      <w:pPr>
        <w:pStyle w:val="Zkladntext"/>
        <w:rPr>
          <w:u w:val="single"/>
        </w:rPr>
      </w:pPr>
    </w:p>
    <w:p w:rsidR="00870DEE" w:rsidRDefault="00870DEE" w:rsidP="00870DEE">
      <w:pPr>
        <w:pStyle w:val="Zkladntext"/>
      </w:pPr>
      <w:r>
        <w:t xml:space="preserve">     V čísle 219/2004 uveřejnily Hospodářské noviny přehled ročních platů nástupních a nejvyšších (v USD) a počtu služebních let k jejich dosažení u učitelů státních základních škol v některých evropských zemích v roce 2002 (zpracováno podle materiálů OECD): Německo – 29 697; 38 996; 28. Česká republika – 6 806; 12 103; 32. Maďarsko – 5 763; 11 105; 40. Irsko – 21 940; 40 141; 23. Portugalsko – 18 751; 50 061; 26. Turecko -  9 116; 11 541; 27. Řecko – 19 327; 28 027; 33. </w:t>
      </w:r>
    </w:p>
    <w:p w:rsidR="00870DEE" w:rsidRDefault="00870DEE" w:rsidP="00870DEE">
      <w:pPr>
        <w:pStyle w:val="Zkladntext"/>
      </w:pPr>
    </w:p>
    <w:p w:rsidR="00870DEE" w:rsidRDefault="00870DEE" w:rsidP="00870DEE"/>
    <w:p w:rsidR="00F22CA3" w:rsidRDefault="00F22CA3"/>
    <w:sectPr w:rsidR="00F22CA3" w:rsidSect="0041555B">
      <w:pgSz w:w="11906" w:h="16838"/>
      <w:pgMar w:top="1134" w:right="624" w:bottom="72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638F" w:rsidRDefault="006F638F" w:rsidP="00312110">
      <w:pPr>
        <w:spacing w:after="0" w:line="240" w:lineRule="auto"/>
      </w:pPr>
      <w:r>
        <w:separator/>
      </w:r>
    </w:p>
  </w:endnote>
  <w:endnote w:type="continuationSeparator" w:id="1">
    <w:p w:rsidR="006F638F" w:rsidRDefault="006F638F" w:rsidP="003121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638F" w:rsidRDefault="006F638F" w:rsidP="00312110">
      <w:pPr>
        <w:spacing w:after="0" w:line="240" w:lineRule="auto"/>
      </w:pPr>
      <w:r>
        <w:separator/>
      </w:r>
    </w:p>
  </w:footnote>
  <w:footnote w:type="continuationSeparator" w:id="1">
    <w:p w:rsidR="006F638F" w:rsidRDefault="006F638F" w:rsidP="003121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0DEE"/>
    <w:rsid w:val="0001060E"/>
    <w:rsid w:val="00016F5D"/>
    <w:rsid w:val="001D0BF7"/>
    <w:rsid w:val="00312110"/>
    <w:rsid w:val="00373F77"/>
    <w:rsid w:val="003D3693"/>
    <w:rsid w:val="0041555B"/>
    <w:rsid w:val="00555E51"/>
    <w:rsid w:val="00577803"/>
    <w:rsid w:val="00584BB7"/>
    <w:rsid w:val="00626ED5"/>
    <w:rsid w:val="00640452"/>
    <w:rsid w:val="006442DB"/>
    <w:rsid w:val="00646EAD"/>
    <w:rsid w:val="006F638F"/>
    <w:rsid w:val="0082359B"/>
    <w:rsid w:val="00845F0D"/>
    <w:rsid w:val="0085441E"/>
    <w:rsid w:val="00870DEE"/>
    <w:rsid w:val="00912F87"/>
    <w:rsid w:val="009C51A1"/>
    <w:rsid w:val="00A61422"/>
    <w:rsid w:val="00A82B82"/>
    <w:rsid w:val="00AF2EAC"/>
    <w:rsid w:val="00C40F24"/>
    <w:rsid w:val="00C9153D"/>
    <w:rsid w:val="00CC526A"/>
    <w:rsid w:val="00CC5BC5"/>
    <w:rsid w:val="00D813D9"/>
    <w:rsid w:val="00D85880"/>
    <w:rsid w:val="00E77BE3"/>
    <w:rsid w:val="00EE62B5"/>
    <w:rsid w:val="00F11BCF"/>
    <w:rsid w:val="00F177A2"/>
    <w:rsid w:val="00F22CA3"/>
    <w:rsid w:val="00F92306"/>
    <w:rsid w:val="00FC3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0DEE"/>
  </w:style>
  <w:style w:type="paragraph" w:styleId="Nadpis2">
    <w:name w:val="heading 2"/>
    <w:basedOn w:val="Normln"/>
    <w:next w:val="Normln"/>
    <w:link w:val="Nadpis2Char"/>
    <w:qFormat/>
    <w:rsid w:val="00870DEE"/>
    <w:pPr>
      <w:keepNext/>
      <w:spacing w:after="0" w:line="240" w:lineRule="auto"/>
      <w:outlineLvl w:val="1"/>
    </w:pPr>
    <w:rPr>
      <w:rFonts w:ascii="Courier" w:eastAsia="Times New Roman" w:hAnsi="Courier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870DEE"/>
    <w:pPr>
      <w:keepNext/>
      <w:spacing w:after="0" w:line="240" w:lineRule="auto"/>
      <w:outlineLvl w:val="2"/>
    </w:pPr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870DE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870DEE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paragraph" w:styleId="Bezmezer">
    <w:name w:val="No Spacing"/>
    <w:uiPriority w:val="1"/>
    <w:qFormat/>
    <w:rsid w:val="00870DEE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70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0DEE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870DEE"/>
    <w:rPr>
      <w:rFonts w:ascii="Courier" w:eastAsia="Times New Roman" w:hAnsi="Courier" w:cs="Times New Roman"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870DEE"/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870DE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70DEE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3121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12110"/>
  </w:style>
  <w:style w:type="paragraph" w:styleId="Zpat">
    <w:name w:val="footer"/>
    <w:basedOn w:val="Normln"/>
    <w:link w:val="ZpatChar"/>
    <w:uiPriority w:val="99"/>
    <w:semiHidden/>
    <w:unhideWhenUsed/>
    <w:rsid w:val="003121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121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02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4</Pages>
  <Words>1197</Words>
  <Characters>7064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20</cp:revision>
  <dcterms:created xsi:type="dcterms:W3CDTF">2013-07-03T06:49:00Z</dcterms:created>
  <dcterms:modified xsi:type="dcterms:W3CDTF">2014-01-21T20:00:00Z</dcterms:modified>
</cp:coreProperties>
</file>