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BE3" w:rsidRDefault="00D41BE3" w:rsidP="00164F10">
      <w:pPr>
        <w:pStyle w:val="Bezmezer"/>
        <w:rPr>
          <w:b/>
        </w:rPr>
      </w:pPr>
      <w:r>
        <w:rPr>
          <w:b/>
        </w:rPr>
        <w:t xml:space="preserve"> </w:t>
      </w:r>
      <w:r>
        <w:rPr>
          <w:noProof/>
          <w:lang w:eastAsia="cs-CZ"/>
        </w:rPr>
        <w:drawing>
          <wp:inline distT="0" distB="0" distL="0" distR="0">
            <wp:extent cx="5753100" cy="1362075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D41BE3" w:rsidRPr="000C558A" w:rsidTr="00470195">
        <w:tc>
          <w:tcPr>
            <w:tcW w:w="9212" w:type="dxa"/>
          </w:tcPr>
          <w:p w:rsidR="00D41BE3" w:rsidRPr="000C558A" w:rsidRDefault="00D41BE3" w:rsidP="00470195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D41BE3" w:rsidRPr="000C558A" w:rsidRDefault="00D41BE3" w:rsidP="00470195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Vzdělávání pro konkurenceschopnost</w:t>
            </w:r>
          </w:p>
          <w:p w:rsidR="00D41BE3" w:rsidRPr="000C558A" w:rsidRDefault="00D41BE3" w:rsidP="00470195">
            <w:pPr>
              <w:rPr>
                <w:b/>
                <w:sz w:val="24"/>
                <w:szCs w:val="24"/>
              </w:rPr>
            </w:pPr>
          </w:p>
        </w:tc>
      </w:tr>
      <w:tr w:rsidR="00D41BE3" w:rsidRPr="000C558A" w:rsidTr="00470195">
        <w:trPr>
          <w:trHeight w:val="875"/>
        </w:trPr>
        <w:tc>
          <w:tcPr>
            <w:tcW w:w="9212" w:type="dxa"/>
            <w:vAlign w:val="center"/>
          </w:tcPr>
          <w:p w:rsidR="00D41BE3" w:rsidRPr="000C558A" w:rsidRDefault="00D41BE3" w:rsidP="00470195">
            <w:pPr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52475"/>
                  <wp:effectExtent l="19050" t="0" r="0" b="0"/>
                  <wp:docPr id="4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1BE3" w:rsidRPr="000C558A" w:rsidTr="00470195">
        <w:tc>
          <w:tcPr>
            <w:tcW w:w="9212" w:type="dxa"/>
          </w:tcPr>
          <w:p w:rsidR="00D41BE3" w:rsidRPr="000C558A" w:rsidRDefault="00D41BE3" w:rsidP="00470195">
            <w:pPr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D41BE3" w:rsidRDefault="00D41BE3" w:rsidP="00164F10">
      <w:pPr>
        <w:pStyle w:val="Bezmezer"/>
        <w:rPr>
          <w:b/>
        </w:rPr>
      </w:pPr>
    </w:p>
    <w:p w:rsidR="003C0671" w:rsidRDefault="003C0671" w:rsidP="003C0671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Číslo a název klíčové aktivity: </w:t>
      </w:r>
      <w:r>
        <w:rPr>
          <w:bCs/>
          <w:iCs/>
          <w:sz w:val="24"/>
          <w:szCs w:val="24"/>
        </w:rPr>
        <w:t xml:space="preserve">III/2 Inovace a zkvalitnění výuky prostřednictvím ICT </w:t>
      </w:r>
    </w:p>
    <w:p w:rsidR="003C0671" w:rsidRDefault="003C0671" w:rsidP="003C0671">
      <w:pPr>
        <w:pStyle w:val="Bezmezer"/>
        <w:ind w:left="3540" w:hanging="3540"/>
        <w:rPr>
          <w:color w:val="000000"/>
          <w:sz w:val="20"/>
          <w:szCs w:val="20"/>
        </w:rPr>
      </w:pPr>
      <w:r>
        <w:rPr>
          <w:b/>
          <w:color w:val="000000"/>
          <w:sz w:val="24"/>
          <w:szCs w:val="24"/>
        </w:rPr>
        <w:t xml:space="preserve">Číslo DUM: </w:t>
      </w:r>
      <w:r w:rsidR="00C66D8A">
        <w:rPr>
          <w:color w:val="000000"/>
          <w:sz w:val="20"/>
          <w:szCs w:val="20"/>
        </w:rPr>
        <w:t>VY_32_INOVACE_32Igo10</w:t>
      </w:r>
    </w:p>
    <w:p w:rsidR="00164F10" w:rsidRDefault="003C0671" w:rsidP="003C0671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244685">
        <w:rPr>
          <w:b/>
          <w:color w:val="000000"/>
          <w:sz w:val="24"/>
          <w:szCs w:val="24"/>
        </w:rPr>
        <w:t>Název DUM:</w:t>
      </w:r>
      <w:r w:rsidR="008A1E4C">
        <w:rPr>
          <w:b/>
          <w:color w:val="000000"/>
          <w:sz w:val="24"/>
          <w:szCs w:val="24"/>
        </w:rPr>
        <w:t xml:space="preserve"> </w:t>
      </w:r>
      <w:r w:rsidR="008A1E4C">
        <w:rPr>
          <w:rFonts w:ascii="Times New Roman" w:hAnsi="Times New Roman"/>
          <w:bCs/>
        </w:rPr>
        <w:t>Text, tabulka č. 10.</w:t>
      </w:r>
      <w:r w:rsidR="00164F10">
        <w:rPr>
          <w:b/>
          <w:color w:val="000000"/>
          <w:sz w:val="24"/>
          <w:szCs w:val="24"/>
        </w:rPr>
        <w:tab/>
      </w:r>
      <w:r w:rsidR="00164F10">
        <w:rPr>
          <w:b/>
          <w:color w:val="000000"/>
          <w:sz w:val="24"/>
          <w:szCs w:val="24"/>
        </w:rPr>
        <w:tab/>
      </w:r>
      <w:r w:rsidR="00164F10">
        <w:rPr>
          <w:b/>
          <w:color w:val="000000"/>
          <w:sz w:val="24"/>
          <w:szCs w:val="24"/>
        </w:rPr>
        <w:tab/>
      </w:r>
      <w:r w:rsidR="00164F10">
        <w:rPr>
          <w:b/>
          <w:color w:val="000000"/>
          <w:sz w:val="24"/>
          <w:szCs w:val="24"/>
        </w:rPr>
        <w:tab/>
      </w:r>
    </w:p>
    <w:p w:rsidR="00164F10" w:rsidRDefault="00164F10" w:rsidP="00164F10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Jméno autora: </w:t>
      </w:r>
      <w:r>
        <w:rPr>
          <w:color w:val="000000"/>
          <w:sz w:val="24"/>
          <w:szCs w:val="24"/>
        </w:rPr>
        <w:t>Ing. Hana Illingerová</w:t>
      </w:r>
      <w:r>
        <w:rPr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164F10" w:rsidRDefault="00164F10" w:rsidP="00164F10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Datum (období) vytvoření DUM: </w:t>
      </w:r>
      <w:r>
        <w:rPr>
          <w:rFonts w:eastAsia="Times New Roman"/>
        </w:rPr>
        <w:t>jaro, léto 2013</w:t>
      </w:r>
      <w:r>
        <w:rPr>
          <w:b/>
          <w:color w:val="000000"/>
          <w:sz w:val="24"/>
          <w:szCs w:val="24"/>
        </w:rPr>
        <w:tab/>
      </w:r>
    </w:p>
    <w:p w:rsidR="00164F10" w:rsidRDefault="00164F10" w:rsidP="00164F10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Ročník: 1., 2., 3., 4.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164F10" w:rsidRDefault="00164F10" w:rsidP="00164F10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Vzdělávací oblast: </w:t>
      </w:r>
      <w:r>
        <w:rPr>
          <w:rFonts w:eastAsia="Times New Roman"/>
        </w:rPr>
        <w:t>písemná a elektronická komunikace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164F10" w:rsidRDefault="00164F10" w:rsidP="00164F10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Vzdělávací obor: </w:t>
      </w:r>
      <w:r>
        <w:rPr>
          <w:rFonts w:eastAsia="Times New Roman"/>
        </w:rPr>
        <w:t>Obchodní akademie, Podnikání, Veřejnosprávní činnost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164F10" w:rsidRDefault="00164F10" w:rsidP="00164F10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Klíčová slova: </w:t>
      </w:r>
      <w:r>
        <w:rPr>
          <w:rFonts w:eastAsia="Times New Roman"/>
        </w:rPr>
        <w:t>opis textu na přesnost a rychlost, tabulky jednoduché a složité, záhlaví, zdroje údajů</w:t>
      </w:r>
    </w:p>
    <w:p w:rsidR="00164F10" w:rsidRDefault="00164F10" w:rsidP="00164F10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Anotace: Materiály slouží nejen jako učební pomůcka</w:t>
      </w:r>
      <w:r w:rsidR="00D572D8">
        <w:rPr>
          <w:b/>
          <w:color w:val="000000"/>
          <w:sz w:val="24"/>
          <w:szCs w:val="24"/>
        </w:rPr>
        <w:t xml:space="preserve">, ale zároveň jako pomůcka při </w:t>
      </w:r>
      <w:r>
        <w:rPr>
          <w:b/>
          <w:color w:val="000000"/>
          <w:sz w:val="24"/>
          <w:szCs w:val="24"/>
        </w:rPr>
        <w:t>přípravě na státní zkoušky nebo různé formy soutěží</w:t>
      </w:r>
      <w:r>
        <w:rPr>
          <w:b/>
          <w:color w:val="000000"/>
          <w:sz w:val="24"/>
          <w:szCs w:val="24"/>
        </w:rPr>
        <w:tab/>
      </w:r>
    </w:p>
    <w:p w:rsidR="00164F10" w:rsidRDefault="00164F10" w:rsidP="00164F10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Druh učebního materiálu: </w:t>
      </w:r>
      <w:r>
        <w:rPr>
          <w:rFonts w:eastAsia="Times New Roman"/>
        </w:rPr>
        <w:t>tištěné texty a vzor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164F10" w:rsidRDefault="00164F10" w:rsidP="00164F10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Očekávaný výstup: </w:t>
      </w:r>
      <w:r w:rsidR="00D572D8">
        <w:rPr>
          <w:rFonts w:eastAsia="Times New Roman"/>
        </w:rPr>
        <w:t xml:space="preserve">žák </w:t>
      </w:r>
      <w:r>
        <w:rPr>
          <w:rFonts w:eastAsia="Times New Roman"/>
        </w:rPr>
        <w:t>se trénuje v přesnosti a rychlosti opisu tištěných textů a je schopen po</w:t>
      </w:r>
      <w:r w:rsidR="00D572D8">
        <w:rPr>
          <w:rFonts w:eastAsia="Times New Roman"/>
        </w:rPr>
        <w:t>dle norem vypracovat přehledné</w:t>
      </w:r>
      <w:r>
        <w:rPr>
          <w:rFonts w:eastAsia="Times New Roman"/>
        </w:rPr>
        <w:t xml:space="preserve"> a správné tabulky</w:t>
      </w:r>
      <w:r>
        <w:rPr>
          <w:b/>
          <w:color w:val="000000"/>
          <w:sz w:val="24"/>
          <w:szCs w:val="24"/>
        </w:rPr>
        <w:tab/>
      </w:r>
    </w:p>
    <w:p w:rsidR="00164F10" w:rsidRDefault="00164F10" w:rsidP="00164F10">
      <w:pPr>
        <w:pStyle w:val="Bezmezer"/>
        <w:ind w:left="3540" w:hanging="3540"/>
        <w:rPr>
          <w:rFonts w:eastAsia="Times New Roman"/>
        </w:rPr>
      </w:pPr>
      <w:r>
        <w:rPr>
          <w:b/>
          <w:color w:val="000000"/>
          <w:sz w:val="24"/>
          <w:szCs w:val="24"/>
        </w:rPr>
        <w:t xml:space="preserve">Metodika učebního materiálu: </w:t>
      </w:r>
      <w:r>
        <w:rPr>
          <w:rFonts w:eastAsia="Times New Roman"/>
        </w:rPr>
        <w:t>každá ucele</w:t>
      </w:r>
      <w:r w:rsidR="00D572D8">
        <w:rPr>
          <w:rFonts w:eastAsia="Times New Roman"/>
        </w:rPr>
        <w:t>ná kapitola obsahuje na začátku</w:t>
      </w:r>
      <w:r>
        <w:rPr>
          <w:rFonts w:eastAsia="Times New Roman"/>
        </w:rPr>
        <w:t xml:space="preserve"> písemnost pro žáky, kteří na její m základě potom vypracovávají jednotlivé úkoly.  Jedná se v první části o opisy na přesnost a rych</w:t>
      </w:r>
      <w:r w:rsidR="00D572D8">
        <w:rPr>
          <w:rFonts w:eastAsia="Times New Roman"/>
        </w:rPr>
        <w:t xml:space="preserve">lost, kdy jednotliví vyučující </w:t>
      </w:r>
      <w:r>
        <w:rPr>
          <w:rFonts w:eastAsia="Times New Roman"/>
        </w:rPr>
        <w:t xml:space="preserve">si podle vlastního uvážení zvolí </w:t>
      </w:r>
    </w:p>
    <w:p w:rsidR="00164F10" w:rsidRDefault="00164F10" w:rsidP="00164F10">
      <w:pPr>
        <w:pStyle w:val="Bezmezer"/>
        <w:ind w:left="3540" w:hanging="3540"/>
        <w:rPr>
          <w:rFonts w:eastAsia="Times New Roman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</w:t>
      </w:r>
      <w:r>
        <w:rPr>
          <w:color w:val="000000"/>
          <w:sz w:val="24"/>
          <w:szCs w:val="24"/>
        </w:rPr>
        <w:t>délku trvání opisu</w:t>
      </w:r>
      <w:r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a oznámkují ho podle daných pravidel. </w:t>
      </w:r>
      <w:r>
        <w:rPr>
          <w:rFonts w:eastAsia="Times New Roman"/>
        </w:rPr>
        <w:t xml:space="preserve">Dále ve druhé část </w:t>
      </w:r>
      <w:r w:rsidR="00D572D8">
        <w:rPr>
          <w:rFonts w:eastAsia="Times New Roman"/>
        </w:rPr>
        <w:t>je úkolem žáka vypracovat podle</w:t>
      </w:r>
      <w:r>
        <w:rPr>
          <w:rFonts w:eastAsia="Times New Roman"/>
        </w:rPr>
        <w:t xml:space="preserve"> norem tabulku s jednoduchým i složitým záhlavím a doplnit ji o patřičné údaje, které mají povinně obsahovat.</w:t>
      </w:r>
    </w:p>
    <w:p w:rsidR="00164F10" w:rsidRDefault="00164F10" w:rsidP="00164F10">
      <w:pPr>
        <w:pStyle w:val="Bezmezer"/>
        <w:ind w:left="3540" w:hanging="3540"/>
        <w:rPr>
          <w:rFonts w:eastAsia="Times New Roman"/>
        </w:rPr>
      </w:pPr>
    </w:p>
    <w:p w:rsidR="000720AC" w:rsidRDefault="000720AC" w:rsidP="000720AC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0720AC" w:rsidRDefault="000720AC" w:rsidP="000720AC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0720AC" w:rsidRDefault="000720AC" w:rsidP="000720AC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0720AC" w:rsidRDefault="000720AC" w:rsidP="000720AC">
      <w:pPr>
        <w:pStyle w:val="Nzev"/>
        <w:jc w:val="both"/>
        <w:rPr>
          <w:b w:val="0"/>
          <w:sz w:val="24"/>
          <w:u w:val="none"/>
        </w:rPr>
      </w:pPr>
    </w:p>
    <w:p w:rsidR="000720AC" w:rsidRDefault="000720AC" w:rsidP="000720AC">
      <w:pPr>
        <w:pStyle w:val="Nzev"/>
        <w:jc w:val="both"/>
        <w:rPr>
          <w:b w:val="0"/>
          <w:sz w:val="24"/>
          <w:u w:val="none"/>
        </w:rPr>
      </w:pPr>
    </w:p>
    <w:p w:rsidR="000720AC" w:rsidRDefault="000720AC" w:rsidP="000720AC">
      <w:pPr>
        <w:pStyle w:val="Nzev"/>
        <w:jc w:val="both"/>
        <w:rPr>
          <w:b w:val="0"/>
          <w:sz w:val="24"/>
          <w:u w:val="none"/>
        </w:rPr>
      </w:pPr>
    </w:p>
    <w:p w:rsidR="000720AC" w:rsidRDefault="000720AC" w:rsidP="000720AC">
      <w:pPr>
        <w:pStyle w:val="Nzev"/>
        <w:jc w:val="both"/>
        <w:rPr>
          <w:b w:val="0"/>
          <w:sz w:val="24"/>
          <w:u w:val="none"/>
        </w:rPr>
      </w:pPr>
    </w:p>
    <w:p w:rsidR="000720AC" w:rsidRDefault="000720AC" w:rsidP="000720AC">
      <w:pPr>
        <w:pStyle w:val="Nzev"/>
        <w:jc w:val="both"/>
        <w:rPr>
          <w:b w:val="0"/>
          <w:sz w:val="24"/>
          <w:u w:val="none"/>
        </w:rPr>
      </w:pPr>
    </w:p>
    <w:p w:rsidR="000720AC" w:rsidRDefault="000720AC" w:rsidP="000720AC">
      <w:pPr>
        <w:pStyle w:val="Nzev"/>
        <w:jc w:val="both"/>
        <w:rPr>
          <w:b w:val="0"/>
          <w:sz w:val="24"/>
          <w:u w:val="none"/>
        </w:rPr>
      </w:pPr>
    </w:p>
    <w:p w:rsidR="000720AC" w:rsidRDefault="000720AC" w:rsidP="000720AC">
      <w:pPr>
        <w:pStyle w:val="Nzev"/>
        <w:jc w:val="both"/>
        <w:rPr>
          <w:b w:val="0"/>
          <w:sz w:val="24"/>
          <w:u w:val="none"/>
        </w:rPr>
      </w:pPr>
    </w:p>
    <w:p w:rsidR="00D353CC" w:rsidRDefault="00D353CC" w:rsidP="000720AC">
      <w:pPr>
        <w:pStyle w:val="Nzev"/>
        <w:jc w:val="both"/>
        <w:rPr>
          <w:b w:val="0"/>
          <w:sz w:val="24"/>
          <w:u w:val="none"/>
        </w:rPr>
      </w:pPr>
    </w:p>
    <w:p w:rsidR="00D353CC" w:rsidRDefault="00732238" w:rsidP="000720AC">
      <w:pPr>
        <w:pStyle w:val="Nzev"/>
        <w:jc w:val="both"/>
        <w:rPr>
          <w:b w:val="0"/>
          <w:sz w:val="24"/>
          <w:u w:val="none"/>
        </w:rPr>
      </w:pPr>
      <w:r w:rsidRPr="0021630F">
        <w:rPr>
          <w:rFonts w:asciiTheme="minorHAnsi" w:eastAsia="+mn-ea" w:hAnsiTheme="minorHAnsi"/>
          <w:b w:val="0"/>
          <w:sz w:val="24"/>
          <w:szCs w:val="24"/>
          <w:u w:val="none"/>
        </w:rPr>
        <w:t xml:space="preserve">Autorem materiálu a všech jeho příloh, není-li uvedeno jinak, je Ing. </w:t>
      </w:r>
      <w:r>
        <w:rPr>
          <w:rFonts w:asciiTheme="minorHAnsi" w:eastAsia="+mn-ea" w:hAnsiTheme="minorHAnsi"/>
          <w:b w:val="0"/>
          <w:sz w:val="24"/>
          <w:szCs w:val="24"/>
          <w:u w:val="none"/>
        </w:rPr>
        <w:t>Hana Illingerová</w:t>
      </w:r>
      <w:r w:rsidRPr="0021630F">
        <w:rPr>
          <w:rFonts w:asciiTheme="minorHAnsi" w:eastAsia="+mn-ea" w:hAnsiTheme="minorHAnsi"/>
          <w:b w:val="0"/>
          <w:sz w:val="24"/>
          <w:szCs w:val="24"/>
          <w:u w:val="none"/>
        </w:rPr>
        <w:t>.</w:t>
      </w:r>
    </w:p>
    <w:p w:rsidR="000720AC" w:rsidRDefault="000720AC" w:rsidP="000720AC">
      <w:pPr>
        <w:pStyle w:val="Nadpis3"/>
        <w:shd w:val="clear" w:color="auto" w:fill="FFFFFF"/>
      </w:pPr>
      <w:r>
        <w:lastRenderedPageBreak/>
        <w:t>Počítače a zdraví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  <w:u w:val="single"/>
        </w:rPr>
      </w:pPr>
    </w:p>
    <w:p w:rsidR="000720AC" w:rsidRDefault="000720AC" w:rsidP="000720AC">
      <w:pPr>
        <w:pStyle w:val="Nadpis2"/>
        <w:shd w:val="clear" w:color="auto" w:fill="FFFFFF"/>
      </w:pPr>
      <w:r>
        <w:t>Počítače se staly běžnou součástí našeho života. Pomáhají nám         63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dnes v každém oboru činnosti. Neexistuje snad ani jediná firma,      128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jejíž zaměstnanci by při své práci počítače nevyužívali. Do styku    195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 nimi přicházejí i naše děti. Právě pro množství hodin, které       259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tráví dospělí i děti před monitorem, chceme zjistit, zda počítače    325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neškodí zdraví. Výzkumy ukázaly, že mnoho pracovníků s počítačem     391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si stěžuje na zrakové potíže. Ty se dají rozdělit do tří skupin.     457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Do první skupiny patří oční námaha a s ní spojená bolest hlavy.      522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Do druhé skupiny náleží pálení očí, slzení, popřípadě nepříjemný     588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tlak v očích. Třetí skupin tvoří vizuální poruchy jako například     655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rozostření, rozmazanost a zpomalené zaostřování. Jejich příčiny      720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bývají dvojí. Jednak zraková náročnost práce u monitoru, jednak      785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stav zraku uživatele. Zjevné a skryté vady zraku se někdy objeví     851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právě až při zvýšené námaze. Stále se zvyšující únavu při práci      916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u počítače lze přičíst nesprávnému sezení apod. Jedním z činitelů    983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zrakové únavy je dlouhé trvání práce u obrazovky. Prevencí je       1046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vytvoření vhodných podmínek na pracovišti, to je správné umístění   1112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počítače, klávesnice i dokumentů, vhodné osvětlení místnosti,       1174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výška roviny, kde je klávesnice s obrazovkou umístěna a kvalita     1238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pracovního sedadla. Důležitou roli hraje i filtr, který zvyšuje     1303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kontrast, brání tvoření odlesků a potlačuje elektromagnetické       1365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pole. V podstatě se dá však konstatovat, že práce na počítači       1428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zdraví nepoškozuje. Může však způsobit bezprostřední potíže, jako   1495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např. podrážděnost očí a s tím související bolesti hlavy, únavu,    1560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stres a dokonce problémy s pohybovou soustavou. Tyto mnohdy velmi   1627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nemilé potíže sice po vydatném odpočinku obvykle mizí, ale stále    1692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narůstající únava při práci s sebou přináší snížení pozornosti,     1756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prodlužuje dobu potřebnou k určitému výkonu a může zavinit také     1820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snížení efektivity práce. Obecně platí, že kdo při práci vidí       1883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špatně na monitor, mívá obvykle také potíže se zády. Je to dáno     1948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tím, že zrak je úzce spjat s pohybovým ústrojím. Jestliže se nám    2014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leskne obrazovka, nutí nás to dívat se na ni ze strany a nemůžeme   2080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zaujmout přirozenou polohu. V zájmu každého by mělo být tyto        2142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problémy v nejvyšší možné míře zmenšovat. Na trhu se objevují       2205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stále nové pomůcky slibující dokonalý komfort při počítačové        2266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činnosti. Jsou jimi například polarizační filtry. Polarizační       2330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filtr může pomoci tělu i očím zvýšením kontrastu na obrazovce.      2393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Při jeho použití dopadají světelné paprsky na monitor, odrazí se    2459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 na zpáteční cestě jsou zachyceny dvěma polarizačními vrstvami.    2524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Přesně projde jenom světlo neodražené, které vyzařuje obrazovka.    2590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</w:p>
    <w:p w:rsidR="00D353C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 xml:space="preserve">....,....1....,....2....,....3....,....4....,...5....,....6...., </w:t>
      </w:r>
    </w:p>
    <w:p w:rsidR="00D353CC" w:rsidRDefault="00D353CC" w:rsidP="000720AC">
      <w:pPr>
        <w:shd w:val="clear" w:color="auto" w:fill="FFFFFF"/>
        <w:rPr>
          <w:rFonts w:ascii="Courier" w:hAnsi="Courier"/>
          <w:sz w:val="24"/>
        </w:rPr>
      </w:pP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 xml:space="preserve">    </w:t>
      </w:r>
    </w:p>
    <w:p w:rsidR="000720AC" w:rsidRDefault="000720AC" w:rsidP="000720AC">
      <w:pPr>
        <w:pStyle w:val="Nadpis3"/>
        <w:shd w:val="clear" w:color="auto" w:fill="FFFFFF"/>
      </w:pPr>
      <w:r>
        <w:lastRenderedPageBreak/>
        <w:t>Odborné školství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  <w:u w:val="single"/>
        </w:rPr>
      </w:pPr>
    </w:p>
    <w:p w:rsidR="000720AC" w:rsidRDefault="000720AC" w:rsidP="000720AC">
      <w:pPr>
        <w:pStyle w:val="Nadpis2"/>
        <w:shd w:val="clear" w:color="auto" w:fill="FFFFFF"/>
      </w:pPr>
      <w:r>
        <w:t>Výzkumný ústav odborného školství je resortní ústav Ministerstva      66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školství, mládeže a tělovýchovy. V minulé době totiž zpracovával     132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projekt, který měl řešit nové způsoby ukončování středoškolského     198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studia. Projekt je zatím ve fázi rozpracování. Přesto si myslíme,    267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že je nutné znát, jaká je nová koncepce maturitních zkoušek na       332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středních odborných školách. Tyto nové maturitní zkoušky musejí      397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vycházet ze života ve školách, a tudíž musí respektovat dosavadní    463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obsah, formy a metody vzdělávání, názory pedagogické veřejnosti,     528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rodičů, žáků, sociálních partnerů, atd. Výzkumný ústav odborného     593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školství současně sbírá veškeré nové informace o zkušenostech        655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 také o podobách závěrečného středoškolského hodnocení nejen        717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u nás, ale i v zahraničí. Na základě známých modelů domácích         779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i zahraničních závěrečných zkoušek vzniká materiál, na jehož         840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základě také po důkladném vyhodnocení se teprve rozhodne, jak        904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se maturity na středních odborných školách změní. Nemůžeme však      969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nekriticky a mechanicky pouze přijmout jakýkoli zahraniční model    1034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 zapomenout na charakter i velmi dobrou tradici našeho školského   1100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systému. Na druhou stranu to musí být takový model, který umožní    1166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absolventům středních škol úspěšně se uplatnit na otevírajícím se   1231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evropském trhu práce. Je třeba, aby jejich vzdělanostní úroveň      1297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byla nejen kvalitní, ale také aby byla v celoevropském měřítku      1360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porovnatelná a tedy i respektovaná. Nemůže jít o unifikaci, o to,   1427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aby všichni měli úplně stejné vědomosti a dovednosti a aby se       1489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ignorovala národní vzdělávací specifika. Jde nám tedy o jistou      1555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společnou vzdělanostní úroveň, kterou by naše závěrečné zkoušky     1619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měly ověřovat a certifikovat. Proto se musí specifikovat cíle       1682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odborného vzdělávání. Je to velmi obtížná oblast. Ministerstvo      1747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školství však před nedávnou dobou přijalo systém kmenových oborů    1812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na úrovni středoškolského a učňovského vzdělávání.Když se vymezí    1879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vzdělávací cíle těchto oborů, můžeme pak hledat optimální podobu    1944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maturitních zkoušek. Je to velmi nesnadný úkol, protože existuje    2010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rozdíl ve vzdělávacích cílech a pochopitelně i výstupech mezi       2072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odborným a všeobecným, tzv. gymnaziálním vzděláváním. Gymnaziální   2139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maturita je pojata předmětově, proto je možné jí poměrně snadno     2203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standardizovat a ověřit. Odborná maturita však vyžaduje něco        2264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navíc. Do hry vstupuje hlavně odborný profil absolventa, který      2329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nemůže být nikdy pojímán pouze úzce předmětově. Student musí být    2395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schopen prokázat připravenost k určitému druhu povolání, svoji      2458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mobilitu, kreativitu a schopnost řešit komplexní odborné úkoly.     2522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To je hlavní odlišnost, kterou bude třeba ve školách zohlednit.     2587</w:t>
      </w: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</w:p>
    <w:p w:rsidR="000720AC" w:rsidRDefault="000720AC" w:rsidP="000720AC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....,....1....,....2....,....3....,....4....,....5....,....6....,</w:t>
      </w:r>
    </w:p>
    <w:p w:rsidR="00D353CC" w:rsidRDefault="00D353CC" w:rsidP="000720AC">
      <w:pPr>
        <w:shd w:val="clear" w:color="auto" w:fill="FFFFFF"/>
        <w:rPr>
          <w:rFonts w:ascii="Courier" w:hAnsi="Courier"/>
          <w:sz w:val="24"/>
        </w:rPr>
      </w:pPr>
    </w:p>
    <w:p w:rsidR="00D353CC" w:rsidRDefault="00D353CC" w:rsidP="000720AC">
      <w:pPr>
        <w:shd w:val="clear" w:color="auto" w:fill="FFFFFF"/>
        <w:rPr>
          <w:rFonts w:ascii="Courier" w:hAnsi="Courier"/>
          <w:sz w:val="24"/>
        </w:rPr>
      </w:pPr>
    </w:p>
    <w:p w:rsidR="00D353CC" w:rsidRDefault="00D353CC" w:rsidP="000720AC">
      <w:pPr>
        <w:shd w:val="clear" w:color="auto" w:fill="FFFFFF"/>
        <w:rPr>
          <w:rFonts w:ascii="Courier" w:hAnsi="Courier"/>
          <w:sz w:val="24"/>
        </w:rPr>
      </w:pPr>
    </w:p>
    <w:p w:rsidR="000720AC" w:rsidRDefault="000720AC" w:rsidP="000720AC">
      <w:pPr>
        <w:pStyle w:val="Zkladntext"/>
        <w:rPr>
          <w:u w:val="single"/>
        </w:rPr>
      </w:pPr>
      <w:r>
        <w:rPr>
          <w:u w:val="single"/>
        </w:rPr>
        <w:lastRenderedPageBreak/>
        <w:t>Obsah vlákniny v nejdůležitějších zdrojích</w:t>
      </w:r>
    </w:p>
    <w:p w:rsidR="000720AC" w:rsidRDefault="000720AC" w:rsidP="000720AC">
      <w:pPr>
        <w:pStyle w:val="Zkladntext"/>
        <w:rPr>
          <w:u w:val="single"/>
        </w:rPr>
      </w:pPr>
    </w:p>
    <w:p w:rsidR="000720AC" w:rsidRDefault="000720AC" w:rsidP="000720AC">
      <w:pPr>
        <w:pStyle w:val="Zkladntext"/>
      </w:pPr>
      <w:r>
        <w:t xml:space="preserve">     Rozpustná i nerozpustná vláknina má kladný vliv na zdraví našeho organismu. Vypracujte přehled o tom, kolik které vlákniny v % některé potraviny obsahují. v prvním sloupci uveďte potravinu, ve druhém dvojsloupci vlákninu rozpustnou i vlákninu nerozpustnou. Jablka – 0,9; 1,2. Ovesné vločky – 1,5; 3,8. Chléb žitný celozrnný – 2,5; 4,5. Chléb pšeničný celozrnný – 1,8; 4,8. Ořechy lískové – 2,8; 4,6. Mandle – 3,2; 6,4. Mrkev – 0,4; 0,9. Sója – 6,8; 8,9. Fazole – 5,1; 3,2. Hrášek zelený 2,4; 4,6. Květák – 0,9; 1,3. Brambory – 0,6; 0,8. Zdrojem je časopis Věda a výzkum č. 10/2013</w:t>
      </w:r>
    </w:p>
    <w:p w:rsidR="000720AC" w:rsidRDefault="000720AC" w:rsidP="000720AC">
      <w:pPr>
        <w:pStyle w:val="Zkladntext"/>
      </w:pPr>
    </w:p>
    <w:p w:rsidR="000720AC" w:rsidRDefault="000720AC" w:rsidP="000720AC"/>
    <w:p w:rsidR="00F22CA3" w:rsidRDefault="00F22CA3"/>
    <w:sectPr w:rsidR="00F22CA3" w:rsidSect="00D353CC">
      <w:pgSz w:w="11906" w:h="16838"/>
      <w:pgMar w:top="1134" w:right="624" w:bottom="720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703A" w:rsidRDefault="00F5703A" w:rsidP="00E918F8">
      <w:r>
        <w:separator/>
      </w:r>
    </w:p>
  </w:endnote>
  <w:endnote w:type="continuationSeparator" w:id="1">
    <w:p w:rsidR="00F5703A" w:rsidRDefault="00F5703A" w:rsidP="00E918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703A" w:rsidRDefault="00F5703A" w:rsidP="00E918F8">
      <w:r>
        <w:separator/>
      </w:r>
    </w:p>
  </w:footnote>
  <w:footnote w:type="continuationSeparator" w:id="1">
    <w:p w:rsidR="00F5703A" w:rsidRDefault="00F5703A" w:rsidP="00E918F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720AC"/>
    <w:rsid w:val="00016F5D"/>
    <w:rsid w:val="000720AC"/>
    <w:rsid w:val="000B3D5D"/>
    <w:rsid w:val="00164F10"/>
    <w:rsid w:val="00166140"/>
    <w:rsid w:val="00243694"/>
    <w:rsid w:val="002F47E1"/>
    <w:rsid w:val="00335804"/>
    <w:rsid w:val="003C0671"/>
    <w:rsid w:val="004964B0"/>
    <w:rsid w:val="004C7CE6"/>
    <w:rsid w:val="005037EA"/>
    <w:rsid w:val="005E26A7"/>
    <w:rsid w:val="00732238"/>
    <w:rsid w:val="00845F0D"/>
    <w:rsid w:val="008A1E4C"/>
    <w:rsid w:val="009D3F8C"/>
    <w:rsid w:val="009D5611"/>
    <w:rsid w:val="00A3643C"/>
    <w:rsid w:val="00A57363"/>
    <w:rsid w:val="00A8163B"/>
    <w:rsid w:val="00AC3765"/>
    <w:rsid w:val="00B94D10"/>
    <w:rsid w:val="00BF3614"/>
    <w:rsid w:val="00C14D01"/>
    <w:rsid w:val="00C66D8A"/>
    <w:rsid w:val="00CE6F5E"/>
    <w:rsid w:val="00D353CC"/>
    <w:rsid w:val="00D41BE3"/>
    <w:rsid w:val="00D572D8"/>
    <w:rsid w:val="00DF372C"/>
    <w:rsid w:val="00E47C69"/>
    <w:rsid w:val="00E918F8"/>
    <w:rsid w:val="00F22CA3"/>
    <w:rsid w:val="00F31CC5"/>
    <w:rsid w:val="00F570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20AC"/>
  </w:style>
  <w:style w:type="paragraph" w:styleId="Nadpis2">
    <w:name w:val="heading 2"/>
    <w:basedOn w:val="Normln"/>
    <w:next w:val="Normln"/>
    <w:link w:val="Nadpis2Char"/>
    <w:qFormat/>
    <w:rsid w:val="000720AC"/>
    <w:pPr>
      <w:keepNext/>
      <w:outlineLvl w:val="1"/>
    </w:pPr>
    <w:rPr>
      <w:rFonts w:ascii="Courier" w:eastAsia="Times New Roman" w:hAnsi="Courier" w:cs="Times New Roman"/>
      <w:sz w:val="24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0720AC"/>
    <w:pPr>
      <w:keepNext/>
      <w:outlineLvl w:val="2"/>
    </w:pPr>
    <w:rPr>
      <w:rFonts w:ascii="Courier" w:eastAsia="Times New Roman" w:hAnsi="Courier" w:cs="Times New Roman"/>
      <w:sz w:val="24"/>
      <w:szCs w:val="20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0720AC"/>
    <w:pPr>
      <w:jc w:val="center"/>
    </w:pPr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character" w:customStyle="1" w:styleId="NzevChar">
    <w:name w:val="Název Char"/>
    <w:basedOn w:val="Standardnpsmoodstavce"/>
    <w:link w:val="Nzev"/>
    <w:rsid w:val="000720AC"/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paragraph" w:styleId="Bezmezer">
    <w:name w:val="No Spacing"/>
    <w:uiPriority w:val="1"/>
    <w:qFormat/>
    <w:rsid w:val="000720AC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720A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20AC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0720AC"/>
    <w:rPr>
      <w:rFonts w:ascii="Courier" w:eastAsia="Times New Roman" w:hAnsi="Courier" w:cs="Times New Roman"/>
      <w:sz w:val="24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0720AC"/>
    <w:rPr>
      <w:rFonts w:ascii="Courier" w:eastAsia="Times New Roman" w:hAnsi="Courier" w:cs="Times New Roman"/>
      <w:sz w:val="24"/>
      <w:szCs w:val="20"/>
      <w:u w:val="single"/>
      <w:lang w:eastAsia="cs-CZ"/>
    </w:rPr>
  </w:style>
  <w:style w:type="paragraph" w:styleId="Zkladntext">
    <w:name w:val="Body Text"/>
    <w:basedOn w:val="Normln"/>
    <w:link w:val="ZkladntextChar"/>
    <w:rsid w:val="000720AC"/>
    <w:pPr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0720A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E918F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918F8"/>
  </w:style>
  <w:style w:type="paragraph" w:styleId="Zpat">
    <w:name w:val="footer"/>
    <w:basedOn w:val="Normln"/>
    <w:link w:val="ZpatChar"/>
    <w:uiPriority w:val="99"/>
    <w:semiHidden/>
    <w:unhideWhenUsed/>
    <w:rsid w:val="00E918F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918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10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394224-C965-4840-9434-4CCF86CA5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1216</Words>
  <Characters>7177</Characters>
  <Application>Microsoft Office Word</Application>
  <DocSecurity>0</DocSecurity>
  <Lines>59</Lines>
  <Paragraphs>16</Paragraphs>
  <ScaleCrop>false</ScaleCrop>
  <Company/>
  <LinksUpToDate>false</LinksUpToDate>
  <CharactersWithSpaces>8377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babicky</cp:lastModifiedBy>
  <cp:revision>20</cp:revision>
  <dcterms:created xsi:type="dcterms:W3CDTF">2013-07-03T06:51:00Z</dcterms:created>
  <dcterms:modified xsi:type="dcterms:W3CDTF">2014-01-21T20:00:00Z</dcterms:modified>
</cp:coreProperties>
</file>