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D4E" w:rsidRDefault="00E01765" w:rsidP="009D1D4E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E01765" w:rsidRPr="000C558A" w:rsidTr="00E515D7">
        <w:tc>
          <w:tcPr>
            <w:tcW w:w="9212" w:type="dxa"/>
          </w:tcPr>
          <w:p w:rsidR="00E01765" w:rsidRPr="000C558A" w:rsidRDefault="00E01765" w:rsidP="00E515D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E01765" w:rsidRPr="000C558A" w:rsidRDefault="00E01765" w:rsidP="00E515D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E01765" w:rsidRPr="000C558A" w:rsidRDefault="00E01765" w:rsidP="00E515D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01765" w:rsidRPr="000C558A" w:rsidTr="00E515D7">
        <w:trPr>
          <w:trHeight w:val="875"/>
        </w:trPr>
        <w:tc>
          <w:tcPr>
            <w:tcW w:w="9212" w:type="dxa"/>
            <w:vAlign w:val="center"/>
          </w:tcPr>
          <w:p w:rsidR="00E01765" w:rsidRPr="000C558A" w:rsidRDefault="00E01765" w:rsidP="00E515D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765" w:rsidRPr="000C558A" w:rsidTr="00E515D7">
        <w:tc>
          <w:tcPr>
            <w:tcW w:w="9212" w:type="dxa"/>
          </w:tcPr>
          <w:p w:rsidR="00E01765" w:rsidRPr="000C558A" w:rsidRDefault="00E01765" w:rsidP="00E515D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01765" w:rsidRPr="00FA1FA5" w:rsidRDefault="00E01765" w:rsidP="009D1D4E">
      <w:pPr>
        <w:pStyle w:val="Bezmezer"/>
        <w:rPr>
          <w:b/>
        </w:rPr>
      </w:pPr>
    </w:p>
    <w:p w:rsidR="001B5BF1" w:rsidRDefault="001B5BF1" w:rsidP="001B5BF1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1B5BF1" w:rsidRDefault="001B5BF1" w:rsidP="001B5BF1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5F2061">
        <w:rPr>
          <w:color w:val="000000"/>
          <w:sz w:val="20"/>
          <w:szCs w:val="20"/>
        </w:rPr>
        <w:t>VY_32_INOVACE_32Igo15</w:t>
      </w:r>
    </w:p>
    <w:p w:rsidR="009D1D4E" w:rsidRPr="00FA1FA5" w:rsidRDefault="001B5BF1" w:rsidP="001B5BF1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976664">
        <w:rPr>
          <w:b/>
          <w:color w:val="000000"/>
          <w:sz w:val="24"/>
          <w:szCs w:val="24"/>
        </w:rPr>
        <w:t xml:space="preserve"> </w:t>
      </w:r>
      <w:r w:rsidR="00976664">
        <w:rPr>
          <w:rFonts w:ascii="Times New Roman" w:hAnsi="Times New Roman"/>
          <w:bCs/>
        </w:rPr>
        <w:t>Text, tabulka č. 15.</w:t>
      </w:r>
      <w:r w:rsidR="009D1D4E" w:rsidRPr="00FA1FA5">
        <w:rPr>
          <w:b/>
          <w:color w:val="000000"/>
          <w:sz w:val="24"/>
          <w:szCs w:val="24"/>
        </w:rPr>
        <w:tab/>
      </w:r>
      <w:r w:rsidR="009D1D4E" w:rsidRPr="00FA1FA5">
        <w:rPr>
          <w:b/>
          <w:color w:val="000000"/>
          <w:sz w:val="24"/>
          <w:szCs w:val="24"/>
        </w:rPr>
        <w:tab/>
      </w:r>
      <w:r w:rsidR="009D1D4E" w:rsidRPr="00FA1FA5">
        <w:rPr>
          <w:b/>
          <w:color w:val="000000"/>
          <w:sz w:val="24"/>
          <w:szCs w:val="24"/>
        </w:rPr>
        <w:tab/>
      </w:r>
      <w:r w:rsidR="009D1D4E"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9D1D4E" w:rsidRPr="00FA1FA5" w:rsidRDefault="009D1D4E" w:rsidP="009D1D4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</w:t>
      </w:r>
      <w:r w:rsidRPr="005F2061">
        <w:rPr>
          <w:color w:val="000000"/>
          <w:sz w:val="20"/>
          <w:szCs w:val="20"/>
        </w:rPr>
        <w:t>Materiály slouží nejen jako učební pomůcka, ale zároveň jako pomůcka při  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9D1D4E" w:rsidRPr="00FA1FA5" w:rsidRDefault="009D1D4E" w:rsidP="009D1D4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9D1D4E" w:rsidRDefault="009D1D4E" w:rsidP="009D1D4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E01765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podle norem vypracova</w:t>
      </w:r>
      <w:r w:rsidR="00E01765">
        <w:rPr>
          <w:rFonts w:eastAsia="Times New Roman"/>
        </w:rPr>
        <w:t>t přehledné</w:t>
      </w:r>
      <w:r>
        <w:rPr>
          <w:rFonts w:eastAsia="Times New Roman"/>
        </w:rPr>
        <w:t xml:space="preserve"> a správné tabulky</w:t>
      </w:r>
      <w:r w:rsidRPr="00FA1FA5">
        <w:rPr>
          <w:b/>
          <w:color w:val="000000"/>
          <w:sz w:val="24"/>
          <w:szCs w:val="24"/>
        </w:rPr>
        <w:tab/>
      </w:r>
    </w:p>
    <w:p w:rsidR="009D1D4E" w:rsidRDefault="009D1D4E" w:rsidP="009D1D4E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E01765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rychlost, kdy jednotliv</w:t>
      </w:r>
      <w:r w:rsidR="00E01765">
        <w:rPr>
          <w:rFonts w:eastAsia="Times New Roman"/>
        </w:rPr>
        <w:t xml:space="preserve">í vyučující </w:t>
      </w:r>
      <w:r>
        <w:rPr>
          <w:rFonts w:eastAsia="Times New Roman"/>
        </w:rPr>
        <w:t xml:space="preserve">si podle vlastního uvážení zvolí </w:t>
      </w:r>
    </w:p>
    <w:p w:rsidR="009D1D4E" w:rsidRDefault="009D1D4E" w:rsidP="009D1D4E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</w:t>
      </w:r>
      <w:r w:rsidR="00E01765">
        <w:rPr>
          <w:rFonts w:eastAsia="Times New Roman"/>
        </w:rPr>
        <w:t xml:space="preserve">e úkolem žáka vypracovat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9D1D4E" w:rsidRDefault="009D1D4E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1F1D97" w:rsidRDefault="001F1D97" w:rsidP="001F1D97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930887" w:rsidRDefault="00930887" w:rsidP="009D1D4E">
      <w:pPr>
        <w:pStyle w:val="Zkladntext"/>
      </w:pPr>
    </w:p>
    <w:p w:rsidR="00930887" w:rsidRDefault="00930887" w:rsidP="009D1D4E">
      <w:pPr>
        <w:pStyle w:val="Zkladntext"/>
      </w:pPr>
    </w:p>
    <w:p w:rsidR="009D1D4E" w:rsidRPr="00930887" w:rsidRDefault="00930887" w:rsidP="009D1D4E">
      <w:pPr>
        <w:shd w:val="clear" w:color="auto" w:fill="FFFFFF"/>
        <w:rPr>
          <w:rFonts w:ascii="Courier" w:hAnsi="Courier"/>
          <w:sz w:val="24"/>
          <w:u w:val="single"/>
        </w:rPr>
      </w:pPr>
      <w:r>
        <w:rPr>
          <w:rFonts w:ascii="Courier" w:hAnsi="Courier"/>
          <w:sz w:val="24"/>
          <w:u w:val="single"/>
        </w:rPr>
        <w:lastRenderedPageBreak/>
        <w:t>Počítače a monitory</w:t>
      </w:r>
    </w:p>
    <w:p w:rsidR="009D1D4E" w:rsidRDefault="009D1D4E" w:rsidP="00930887">
      <w:pPr>
        <w:pStyle w:val="Nadpis2"/>
        <w:shd w:val="clear" w:color="auto" w:fill="FFFFFF"/>
      </w:pPr>
      <w:r>
        <w:t>V nedávné době se na světových trzích objevil nový druh monitorů.     67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Monitor je nejrozměrnější součástí každého osobního počítače. Pro    135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jeho velikost se s ním velice obtížně manipuluje a na pracovním      199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stole, na kterém je každý centimetr drahý, zabírá příliš mnoho       262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místa. Přitom však ze všech dílů počítačové sestavy má největší      327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vliv na to, jak se při práci na počítači cítíme, právě kvalita       390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používaného monitoru. Jestliže jsme si nevybrali vhodný monitor,     456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pak se může stát, že se třeba u něj musíme krčit, abychom byli       519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 práci schopni rozeznat na své obrazovce také menší znaky a       582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písmena. Může se rovněž stát, že se naše oči velmi brzy unaví        645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natolik, že začnou pálit a slzet, a nám potom nezbývá nic jiného,    710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než práci přerušit. Nová generace monitorů však nabízí řešení        773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obou problémů. Rozměry se technikům podařilo podstatně zmenšit,      838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zredukovat. Rozlišovací schopnost je nyní daleko dokonalejší.        904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Navíc se podařilo značně omezit škodlivé vyzařování obrazovky.       965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Tím se snížilo i negativní působení delšího pobytu u počítače na    1032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lidské zdraví. Počítačoví odborníci i lékaři se shodují na tom,     1096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že kvalitní monitor je velkým přínosem moderní techniky. Ocení ho   1163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nejen ti, kdo denně tráví u počítače celou pracovní dobu, ale       1225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všichni, kdo s počítačem mají co dělat. Ploché monitory se dříve    1291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než na trhu objevily ve vědeckofantastických filmech. Teprve asi    1357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 dvacet let později bylo možno se s nimi setkat ve špičkových      1420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noteboocích a vlastně zcela nedávno konečně i na psacích stolech.   1486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Představují špičku ve vývoji monitorů. Jejich výroba je poměrně     1552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náročná, čemuž ovšem odpovídá i cena. Ta však v současné době       1615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rychle klesá. Zatímco před lety bylo nutno zaplatit za takový       1697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moderní monitor třicet tisíc, v současnosti jeho cena klesla již    1744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deset až dvanáct tisíc a jistě se ještě sníží. Ale i těch        1806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dvanáct tisíc je cena, kterou si už může dovolit i mnoho řadových   1872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uživatelů a dopřát si výměnu monitoru. Tenká vrstva aktivních       1935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prvků, nanesená na skle, zajistí vysokou ostrost, takže výsledný    2000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obraz je absolutně dokonalý a stabilní. Obrazovka nevyzařuje        2062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navíc žádné škodlivé záření, což umožní i dlouhodobou práci, aniž   2128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 se unavil zrak. Ploché displeje jsou ideální pro běžnou práci    2194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kanceláři, jsou vhodné také pro práci v grafických studiích.      2257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Naopak se příliš nehodí pro hraní počítačových her. Trpí totiž      2322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efektem, jehož vinou se zdají pohyblivé objekty šedivější. Pokud    2388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uživatel počítače nemá dost peněz na tak dokonalý monitor, může     2452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volit alternativu, to je novou generaci digitálních monitorů.       2514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Přiblížily se těm dražším, plochým, jsou však mnohem levnější.      2578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930887" w:rsidRDefault="00930887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30887" w:rsidRDefault="00930887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pStyle w:val="Nadpis3"/>
        <w:shd w:val="clear" w:color="auto" w:fill="FFFFFF"/>
      </w:pPr>
      <w:r>
        <w:lastRenderedPageBreak/>
        <w:t>Povinné ručení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Systém takzvaného povinného ručení při provozu motorového vozidla     66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 doposud postaven na principu zákonného pojištění, jež vznikalo   131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automaticky bez sjednávání pojistné smlouvy. Povinnost mít takové    198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pojištění je dána potřebou zajistit finanční odškodnění osobám,      262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které utrpěly újmu v souvislosti s provozem motorového vozidla.      326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Závažnost, četnost i výše škod při nehodách je v současné době       390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tak velká, že stát musí zaručovat ochranu poškozených. v mnoha       454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případech by se jinak stávalo, že viník nebude schopen ze svého      518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majetku nahradit třeba až milionovou škodu. Pro motoristu nyní       583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zůstává i nadále povinnost být pojištěn pro případe, že provoz       645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jeho vozidla bude mít negativní následky. Změnila se ovšem forma,    712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to ze zákonného na povinné smluvní pojištění, které již ovšem      776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vyžaduje uzavření pojistné smlouvy. V souvislosti s touto změnou     842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nutno zmínit se o celé řadě výhod, týkajících se v podstatě       905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všech zúčastněných stran. Důležité je, že už to znamená konec        968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monopolního postavení České pojišťovny a nástup konkurence. To se   1040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 nutně projevit zlepšením kvality a úrovně poskytovaných        1101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služeb. Ponese to s sebou tlak na větší vstřícnost a rychlost při   1168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likvidaci pojistných událostí, lepší jednání s poškozenými. Nyní    1234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si zákazník může vybírat nejen podle rozdílné ceny, ale i podle     1298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poskytovaných doplňkových produktů, mezi kterými má dominantní      1363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postavení pojištění havarijní. Novelizace umožní zvýšit počet       1426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kritérií pro stanovení pojistného. Dosud byla používána jenom dvě   1493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hlediska, tedy užitná hmotnost a objem válců motoru. Nadále lze     1558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přihlížet i ke zkušenostem řidiče, typu vozidla, výkonu motoru,     1621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teritoriálnímu užívání, k sezónnímu provozu, k věku a pohlaví       1648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řidiče, k počtu uživatelů vozidla a dalším faktorům. Důležitým      1748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kritériem při stanovení výše pojistného se stane tzv. škodní        1809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průběh provozu vozidla. Pokud s vozidlem nebude po určitou dobu     1874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způsobena žádná újma, udělí se sleva na pojistném, a naopak. Ty     1939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neopatrné řidiče, kteří zavinili škodu, postihne zvýšení sazby.     2003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Pojistné bude tedy vysoce individuální a bude mnohem lépe odrážet   2070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objektivní situace na našich silnicích. Přijetím zákona se náš      2134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stát přibližuje evropským standardům. Demonopolizace ale nesníží    2200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pojistné v souvislosti s odstraněním vlivu jediného tvůrce ceny.    2265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Pojistné se totiž musí zvýšit, aby pokrylo nároky, které vyplynou   2332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pojistných událostí. Musí se zakalkulovat nárůst počtu škod,      2396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zvýšení cen vozidel, náhradních dílů a oprav. Nový způsob znamená   2463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zvýšené správní náklady pojišťoven, náklady na reklamu, příspěvky   2531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garančního fondu a výdaje na provoz ústřední evidence vozidel.   2594</w:t>
      </w: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930887" w:rsidRDefault="00930887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30887" w:rsidRDefault="00930887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30887" w:rsidRDefault="00930887" w:rsidP="00930887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9D1D4E" w:rsidRDefault="009D1D4E" w:rsidP="009D1D4E">
      <w:pPr>
        <w:pStyle w:val="Zkladntext"/>
        <w:rPr>
          <w:u w:val="single"/>
        </w:rPr>
      </w:pPr>
      <w:r>
        <w:rPr>
          <w:u w:val="single"/>
        </w:rPr>
        <w:lastRenderedPageBreak/>
        <w:t>Důchodový věk v některých zemích</w:t>
      </w:r>
    </w:p>
    <w:p w:rsidR="009D1D4E" w:rsidRDefault="009D1D4E" w:rsidP="009D1D4E">
      <w:pPr>
        <w:pStyle w:val="Zkladntext"/>
        <w:rPr>
          <w:u w:val="single"/>
        </w:rPr>
      </w:pPr>
    </w:p>
    <w:p w:rsidR="009D1D4E" w:rsidRDefault="009D1D4E" w:rsidP="009D1D4E">
      <w:pPr>
        <w:pStyle w:val="Zkladntext"/>
      </w:pPr>
      <w:r>
        <w:t xml:space="preserve">     Údaje o věku odchodu mužů a žen do důchodu uspořádejte do přehledné tabulky. V Austrálii odcházeli muži do důchodu v 65 letech v roce 1975, v roce 1995 také v 65 letech. Ženy odcházely v roce 1975 v 60 letech a v roce 1995 také v 60 letech. Belgie – 65; 65; 60; 60. Česká republika – 60; 60; 57; 57. Dánsko – 67; 67; 67; 67. Francie – 65; 60; 65; 60. Irsko – 68; 66; 68; 66. Itálie – 60; 62; 55; 57. Německo – 65; 65; 65; 65. Nizozemí – 65; 65; 65; 65. Rakousko – 65; 65; 60; 60. </w:t>
      </w:r>
    </w:p>
    <w:p w:rsidR="00F22CA3" w:rsidRDefault="00F22CA3"/>
    <w:sectPr w:rsidR="00F22CA3" w:rsidSect="00930887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76B" w:rsidRDefault="00BC676B" w:rsidP="00501627">
      <w:pPr>
        <w:spacing w:after="0" w:line="240" w:lineRule="auto"/>
      </w:pPr>
      <w:r>
        <w:separator/>
      </w:r>
    </w:p>
  </w:endnote>
  <w:endnote w:type="continuationSeparator" w:id="1">
    <w:p w:rsidR="00BC676B" w:rsidRDefault="00BC676B" w:rsidP="00501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76B" w:rsidRDefault="00BC676B" w:rsidP="00501627">
      <w:pPr>
        <w:spacing w:after="0" w:line="240" w:lineRule="auto"/>
      </w:pPr>
      <w:r>
        <w:separator/>
      </w:r>
    </w:p>
  </w:footnote>
  <w:footnote w:type="continuationSeparator" w:id="1">
    <w:p w:rsidR="00BC676B" w:rsidRDefault="00BC676B" w:rsidP="005016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D4E"/>
    <w:rsid w:val="00016F5D"/>
    <w:rsid w:val="000714B4"/>
    <w:rsid w:val="000934E8"/>
    <w:rsid w:val="000B7166"/>
    <w:rsid w:val="00167048"/>
    <w:rsid w:val="001B5BF1"/>
    <w:rsid w:val="001D33F6"/>
    <w:rsid w:val="001F1D97"/>
    <w:rsid w:val="00295642"/>
    <w:rsid w:val="00381F2E"/>
    <w:rsid w:val="00412B5F"/>
    <w:rsid w:val="00472EE8"/>
    <w:rsid w:val="004C5695"/>
    <w:rsid w:val="00501627"/>
    <w:rsid w:val="0058753F"/>
    <w:rsid w:val="005F2061"/>
    <w:rsid w:val="005F60BD"/>
    <w:rsid w:val="00644A17"/>
    <w:rsid w:val="00685ED5"/>
    <w:rsid w:val="00697FCF"/>
    <w:rsid w:val="00930887"/>
    <w:rsid w:val="00976664"/>
    <w:rsid w:val="009D1D4E"/>
    <w:rsid w:val="00B05220"/>
    <w:rsid w:val="00B34C04"/>
    <w:rsid w:val="00BC676B"/>
    <w:rsid w:val="00DA30C5"/>
    <w:rsid w:val="00E01765"/>
    <w:rsid w:val="00E255C2"/>
    <w:rsid w:val="00F22CA3"/>
    <w:rsid w:val="00FB0A30"/>
    <w:rsid w:val="00FC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D4E"/>
  </w:style>
  <w:style w:type="paragraph" w:styleId="Nadpis2">
    <w:name w:val="heading 2"/>
    <w:basedOn w:val="Normln"/>
    <w:next w:val="Normln"/>
    <w:link w:val="Nadpis2Char"/>
    <w:qFormat/>
    <w:rsid w:val="009D1D4E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9D1D4E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D1D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9D1D4E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9D1D4E"/>
    <w:pPr>
      <w:spacing w:after="0" w:line="240" w:lineRule="auto"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9D1D4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1D4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1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1D4E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9D1D4E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1D4E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501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01627"/>
  </w:style>
  <w:style w:type="paragraph" w:styleId="Zpat">
    <w:name w:val="footer"/>
    <w:basedOn w:val="Normln"/>
    <w:link w:val="ZpatChar"/>
    <w:uiPriority w:val="99"/>
    <w:semiHidden/>
    <w:unhideWhenUsed/>
    <w:rsid w:val="00501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016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1199</Words>
  <Characters>7078</Characters>
  <Application>Microsoft Office Word</Application>
  <DocSecurity>0</DocSecurity>
  <Lines>58</Lines>
  <Paragraphs>16</Paragraphs>
  <ScaleCrop>false</ScaleCrop>
  <Company/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15</cp:revision>
  <dcterms:created xsi:type="dcterms:W3CDTF">2013-07-03T07:29:00Z</dcterms:created>
  <dcterms:modified xsi:type="dcterms:W3CDTF">2014-01-21T20:02:00Z</dcterms:modified>
</cp:coreProperties>
</file>