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592" w:rsidRDefault="00615008" w:rsidP="005C1592">
      <w:pPr>
        <w:pStyle w:val="Bezmez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615008" w:rsidRPr="000C558A" w:rsidTr="0062468F">
        <w:tc>
          <w:tcPr>
            <w:tcW w:w="9212" w:type="dxa"/>
          </w:tcPr>
          <w:p w:rsidR="00615008" w:rsidRPr="000C558A" w:rsidRDefault="00615008" w:rsidP="0062468F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615008" w:rsidRPr="000C558A" w:rsidRDefault="00615008" w:rsidP="0062468F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615008" w:rsidRPr="000C558A" w:rsidRDefault="00615008" w:rsidP="0062468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615008" w:rsidRPr="000C558A" w:rsidTr="0062468F">
        <w:trPr>
          <w:trHeight w:val="875"/>
        </w:trPr>
        <w:tc>
          <w:tcPr>
            <w:tcW w:w="9212" w:type="dxa"/>
            <w:vAlign w:val="center"/>
          </w:tcPr>
          <w:p w:rsidR="00615008" w:rsidRPr="000C558A" w:rsidRDefault="00615008" w:rsidP="0062468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5008" w:rsidRPr="000C558A" w:rsidTr="0062468F">
        <w:tc>
          <w:tcPr>
            <w:tcW w:w="9212" w:type="dxa"/>
          </w:tcPr>
          <w:p w:rsidR="00615008" w:rsidRPr="000C558A" w:rsidRDefault="00615008" w:rsidP="0062468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615008" w:rsidRPr="00FA1FA5" w:rsidRDefault="00615008" w:rsidP="005C1592">
      <w:pPr>
        <w:pStyle w:val="Bezmezer"/>
        <w:rPr>
          <w:b/>
        </w:rPr>
      </w:pPr>
    </w:p>
    <w:p w:rsidR="00BA1FDC" w:rsidRDefault="00BA1FDC" w:rsidP="00BA1FDC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BA1FDC" w:rsidRDefault="00BA1FDC" w:rsidP="00BA1FDC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>
        <w:rPr>
          <w:color w:val="000000"/>
          <w:sz w:val="20"/>
          <w:szCs w:val="20"/>
        </w:rPr>
        <w:t>VY_32_INOVACE_32Igo19</w:t>
      </w:r>
    </w:p>
    <w:p w:rsidR="005C1592" w:rsidRPr="00FA1FA5" w:rsidRDefault="00BA1FDC" w:rsidP="00BA1FDC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E25AC6">
        <w:rPr>
          <w:b/>
          <w:color w:val="000000"/>
          <w:sz w:val="24"/>
          <w:szCs w:val="24"/>
        </w:rPr>
        <w:t xml:space="preserve"> </w:t>
      </w:r>
      <w:r w:rsidR="00E25AC6">
        <w:rPr>
          <w:rFonts w:ascii="Times New Roman" w:hAnsi="Times New Roman"/>
          <w:bCs/>
        </w:rPr>
        <w:t>Text, tabulka č. 19.</w:t>
      </w:r>
      <w:r w:rsidR="005C1592" w:rsidRPr="00FA1FA5">
        <w:rPr>
          <w:b/>
          <w:color w:val="000000"/>
          <w:sz w:val="24"/>
          <w:szCs w:val="24"/>
        </w:rPr>
        <w:tab/>
      </w:r>
      <w:r w:rsidR="005C1592" w:rsidRPr="00FA1FA5">
        <w:rPr>
          <w:b/>
          <w:color w:val="000000"/>
          <w:sz w:val="24"/>
          <w:szCs w:val="24"/>
        </w:rPr>
        <w:tab/>
      </w:r>
      <w:r w:rsidR="005C1592" w:rsidRPr="00FA1FA5">
        <w:rPr>
          <w:b/>
          <w:color w:val="000000"/>
          <w:sz w:val="24"/>
          <w:szCs w:val="24"/>
        </w:rPr>
        <w:tab/>
      </w:r>
      <w:r w:rsidR="005C1592" w:rsidRPr="00FA1FA5">
        <w:rPr>
          <w:b/>
          <w:color w:val="000000"/>
          <w:sz w:val="24"/>
          <w:szCs w:val="24"/>
        </w:rPr>
        <w:tab/>
      </w:r>
    </w:p>
    <w:p w:rsidR="005C1592" w:rsidRPr="00FA1FA5" w:rsidRDefault="005C1592" w:rsidP="005C1592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Jméno autora:</w:t>
      </w:r>
      <w:r>
        <w:rPr>
          <w:b/>
          <w:color w:val="000000"/>
          <w:sz w:val="24"/>
          <w:szCs w:val="24"/>
        </w:rPr>
        <w:t xml:space="preserve"> </w:t>
      </w:r>
      <w:r w:rsidRPr="00C90B2B">
        <w:rPr>
          <w:color w:val="000000"/>
          <w:sz w:val="24"/>
          <w:szCs w:val="24"/>
        </w:rPr>
        <w:t>Ing. Hana Illingerová</w:t>
      </w:r>
      <w:r w:rsidRPr="00C90B2B">
        <w:rPr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5C1592" w:rsidRPr="00FA1FA5" w:rsidRDefault="005C1592" w:rsidP="005C1592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Datum (období) vytvoření DUM: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jaro, léto 2013</w:t>
      </w:r>
      <w:r w:rsidRPr="00FA1FA5">
        <w:rPr>
          <w:b/>
          <w:color w:val="000000"/>
          <w:sz w:val="24"/>
          <w:szCs w:val="24"/>
        </w:rPr>
        <w:tab/>
      </w:r>
    </w:p>
    <w:p w:rsidR="005C1592" w:rsidRPr="00FA1FA5" w:rsidRDefault="005C1592" w:rsidP="005C1592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>1., 2., 3., 4.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5C1592" w:rsidRPr="00FA1FA5" w:rsidRDefault="005C1592" w:rsidP="005C1592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oblast: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písemná a elektronická komunikace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5C1592" w:rsidRPr="00FA1FA5" w:rsidRDefault="005C1592" w:rsidP="005C1592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obor: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Obchodní akademie, Podnikání, Veřejnosprávní činnost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5C1592" w:rsidRPr="00FA1FA5" w:rsidRDefault="005C1592" w:rsidP="005C1592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Klíčová slova: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opis textu na přesnost a rychlost, tabulky jednoduché a složité, záhlaví, zdroje údajů</w:t>
      </w:r>
    </w:p>
    <w:p w:rsidR="005C1592" w:rsidRPr="00FA1FA5" w:rsidRDefault="005C1592" w:rsidP="005C1592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Anotace:</w:t>
      </w:r>
      <w:r>
        <w:rPr>
          <w:b/>
          <w:color w:val="000000"/>
          <w:sz w:val="24"/>
          <w:szCs w:val="24"/>
        </w:rPr>
        <w:t xml:space="preserve"> Materiály slouží nejen jako učební pomůcka</w:t>
      </w:r>
      <w:r w:rsidR="00615008">
        <w:rPr>
          <w:b/>
          <w:color w:val="000000"/>
          <w:sz w:val="24"/>
          <w:szCs w:val="24"/>
        </w:rPr>
        <w:t xml:space="preserve">, ale zároveň jako pomůcka při </w:t>
      </w:r>
      <w:r>
        <w:rPr>
          <w:b/>
          <w:color w:val="000000"/>
          <w:sz w:val="24"/>
          <w:szCs w:val="24"/>
        </w:rPr>
        <w:t>přípravě na státní zkoušky nebo různé formy soutěží</w:t>
      </w:r>
      <w:r w:rsidRPr="00FA1FA5">
        <w:rPr>
          <w:b/>
          <w:color w:val="000000"/>
          <w:sz w:val="24"/>
          <w:szCs w:val="24"/>
        </w:rPr>
        <w:tab/>
      </w:r>
    </w:p>
    <w:p w:rsidR="005C1592" w:rsidRPr="00FA1FA5" w:rsidRDefault="005C1592" w:rsidP="005C1592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Druh učebního materiálu: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tištěné texty a vzor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5C1592" w:rsidRDefault="005C1592" w:rsidP="005C1592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Očekávaný výstup:</w:t>
      </w:r>
      <w:r>
        <w:rPr>
          <w:b/>
          <w:color w:val="000000"/>
          <w:sz w:val="24"/>
          <w:szCs w:val="24"/>
        </w:rPr>
        <w:t xml:space="preserve"> </w:t>
      </w:r>
      <w:r w:rsidR="00615008">
        <w:rPr>
          <w:rFonts w:eastAsia="Times New Roman"/>
        </w:rPr>
        <w:t>žák</w:t>
      </w:r>
      <w:r>
        <w:rPr>
          <w:rFonts w:eastAsia="Times New Roman"/>
        </w:rPr>
        <w:t xml:space="preserve"> se trénuje v přesnosti a rychlosti opisu tištěných textů a je schopen po</w:t>
      </w:r>
      <w:r w:rsidR="00615008">
        <w:rPr>
          <w:rFonts w:eastAsia="Times New Roman"/>
        </w:rPr>
        <w:t xml:space="preserve">dle norem vypracovat přehledné </w:t>
      </w:r>
      <w:r>
        <w:rPr>
          <w:rFonts w:eastAsia="Times New Roman"/>
        </w:rPr>
        <w:t>a správné tabulky</w:t>
      </w:r>
      <w:r w:rsidRPr="00FA1FA5">
        <w:rPr>
          <w:b/>
          <w:color w:val="000000"/>
          <w:sz w:val="24"/>
          <w:szCs w:val="24"/>
        </w:rPr>
        <w:tab/>
      </w:r>
    </w:p>
    <w:p w:rsidR="005C1592" w:rsidRDefault="005C1592" w:rsidP="005C1592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</w:t>
      </w:r>
      <w:r w:rsidR="00615008">
        <w:rPr>
          <w:rFonts w:eastAsia="Times New Roman"/>
        </w:rPr>
        <w:t>ná kapitola obsahuje na začátku</w:t>
      </w:r>
      <w:r>
        <w:rPr>
          <w:rFonts w:eastAsia="Times New Roman"/>
        </w:rPr>
        <w:t xml:space="preserve"> písemnost pro žáky, kteří na její m základě potom vypracovávají jednotlivé úkoly.  Jedná se v první části o opisy na přesnost a rych</w:t>
      </w:r>
      <w:r w:rsidR="00615008">
        <w:rPr>
          <w:rFonts w:eastAsia="Times New Roman"/>
        </w:rPr>
        <w:t xml:space="preserve">lost, kdy jednotliví vyučující </w:t>
      </w:r>
      <w:r>
        <w:rPr>
          <w:rFonts w:eastAsia="Times New Roman"/>
        </w:rPr>
        <w:t xml:space="preserve">si podle vlastního uvážení zvolí </w:t>
      </w:r>
    </w:p>
    <w:p w:rsidR="005C1592" w:rsidRDefault="005C1592" w:rsidP="005C1592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 w:rsidRPr="00AB7902"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>Dále ve druhé část j</w:t>
      </w:r>
      <w:r w:rsidR="00615008">
        <w:rPr>
          <w:rFonts w:eastAsia="Times New Roman"/>
        </w:rPr>
        <w:t xml:space="preserve">e úkolem žáka vypracovat podle </w:t>
      </w:r>
      <w:r>
        <w:rPr>
          <w:rFonts w:eastAsia="Times New Roman"/>
        </w:rPr>
        <w:t>norem tabulku s jednoduchým i složitým záhlavím a doplnit ji o patřičné údaje, které mají povinně obsahovat.</w:t>
      </w:r>
    </w:p>
    <w:p w:rsidR="005C1592" w:rsidRDefault="005C1592" w:rsidP="005C1592">
      <w:pPr>
        <w:pStyle w:val="Zkladntext"/>
      </w:pPr>
    </w:p>
    <w:p w:rsidR="005C1592" w:rsidRDefault="005C1592" w:rsidP="005C1592">
      <w:pPr>
        <w:pStyle w:val="Nadpis3"/>
        <w:shd w:val="clear" w:color="auto" w:fill="FFFFFF"/>
      </w:pPr>
    </w:p>
    <w:p w:rsidR="00EE7AED" w:rsidRDefault="00EE7AED" w:rsidP="00EE7AED">
      <w:pPr>
        <w:rPr>
          <w:lang w:eastAsia="cs-CZ"/>
        </w:rPr>
      </w:pPr>
    </w:p>
    <w:p w:rsidR="00EE7AED" w:rsidRDefault="00EE7AED" w:rsidP="00EE7AED">
      <w:pPr>
        <w:rPr>
          <w:lang w:eastAsia="cs-CZ"/>
        </w:rPr>
      </w:pPr>
    </w:p>
    <w:p w:rsidR="00EE7AED" w:rsidRDefault="00EE7AED" w:rsidP="00EE7AED">
      <w:pPr>
        <w:rPr>
          <w:lang w:eastAsia="cs-CZ"/>
        </w:rPr>
      </w:pPr>
    </w:p>
    <w:p w:rsidR="00EE7AED" w:rsidRDefault="00EE7AED" w:rsidP="00EE7AED">
      <w:pPr>
        <w:rPr>
          <w:lang w:eastAsia="cs-CZ"/>
        </w:rPr>
      </w:pPr>
    </w:p>
    <w:p w:rsidR="00EE7AED" w:rsidRDefault="00EE7AED" w:rsidP="00EE7AED">
      <w:pPr>
        <w:rPr>
          <w:lang w:eastAsia="cs-CZ"/>
        </w:rPr>
      </w:pPr>
    </w:p>
    <w:p w:rsidR="00CF0087" w:rsidRDefault="00CF0087" w:rsidP="00CF0087">
      <w:pPr>
        <w:pStyle w:val="Nzev"/>
        <w:jc w:val="both"/>
        <w:rPr>
          <w:rFonts w:asciiTheme="minorHAnsi" w:eastAsia="+mn-ea" w:hAnsiTheme="minorHAnsi"/>
          <w:b w:val="0"/>
          <w:sz w:val="24"/>
          <w:szCs w:val="24"/>
          <w:u w:val="none"/>
        </w:rPr>
      </w:pP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b w:val="0"/>
          <w:sz w:val="24"/>
          <w:szCs w:val="24"/>
          <w:u w:val="none"/>
        </w:rPr>
        <w:t>Hana Illingerová</w:t>
      </w: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>.</w:t>
      </w:r>
    </w:p>
    <w:p w:rsidR="005C1592" w:rsidRDefault="005C1592" w:rsidP="005C1592">
      <w:pPr>
        <w:pStyle w:val="Nadpis3"/>
        <w:shd w:val="clear" w:color="auto" w:fill="FFFFFF"/>
      </w:pPr>
      <w:r>
        <w:lastRenderedPageBreak/>
        <w:t>Andy a mapy</w:t>
      </w:r>
    </w:p>
    <w:p w:rsidR="005C1592" w:rsidRPr="00EE7AED" w:rsidRDefault="005C1592" w:rsidP="005C1592">
      <w:pPr>
        <w:shd w:val="clear" w:color="auto" w:fill="FFFFFF"/>
        <w:rPr>
          <w:rFonts w:ascii="Courier" w:hAnsi="Courier"/>
          <w:b/>
          <w:sz w:val="24"/>
        </w:rPr>
      </w:pPr>
    </w:p>
    <w:p w:rsidR="005C1592" w:rsidRPr="00EE7AED" w:rsidRDefault="005C1592" w:rsidP="00EE7AED">
      <w:pPr>
        <w:pStyle w:val="Nadpis2"/>
        <w:shd w:val="clear" w:color="auto" w:fill="FFFFFF"/>
        <w:spacing w:before="0" w:line="240" w:lineRule="auto"/>
        <w:rPr>
          <w:color w:val="auto"/>
          <w:sz w:val="24"/>
          <w:szCs w:val="24"/>
        </w:rPr>
      </w:pPr>
      <w:r w:rsidRPr="00EE7AED">
        <w:rPr>
          <w:rFonts w:ascii="Courier New" w:hAnsi="Courier New" w:cs="Courier New"/>
          <w:b w:val="0"/>
          <w:color w:val="auto"/>
          <w:sz w:val="24"/>
          <w:szCs w:val="24"/>
        </w:rPr>
        <w:t>Andy vznikají od třetihor. Jsou tedy relativně mladým horstvem</w:t>
      </w:r>
      <w:r w:rsidR="00EE7AED">
        <w:rPr>
          <w:rFonts w:ascii="Courier New" w:hAnsi="Courier New" w:cs="Courier New"/>
          <w:b w:val="0"/>
          <w:color w:val="auto"/>
          <w:sz w:val="24"/>
          <w:szCs w:val="24"/>
        </w:rPr>
        <w:t xml:space="preserve">        66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které se neustále pozvolna zdvihá stlačováním mezi podsouvající      130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východopacifickou deskou a americkou deskou. Pohyb těchto ker     196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vývin jihoamerických Kordiller doprovází častá seismická a         258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vulkanická činnost. V oblasti jsou tedy jasně vidět jednotlivé       322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vyvřelé vrstvy hornin. Tyto vrstvy jsou zvrásněné a nádherně         385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barevně kontrastují jedna s druhou. S výjimkou několika pastevců     450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dobytka, kteří přes letní období do údolí dojíždějí zkontrolovat     515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pár tuctů krav a jalovic, pasoucích se na sporadických lučinách,     580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frekvence návštěvníků ročně pohybuje spíše v jednotkách než       643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desítkách. Obtížnost vstupu do údolí hraje v odloučenosti kraje      708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velkou roli. výraznější úlohu ale zaujímá vojenská, politická,       772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ekonomická a administrativní rovina. Ilegální přechody z Chile do    740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Argentiny a špionáž se vzhledem k charakteru terénu téměř nedají     906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předpokládat. Administrativní byrokracie panuje pouze na vstupu      971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 oblasti, kde se nachází velice dobře udržovaný komplex tří       1033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hydroelektráren. Tam se všechna povolení kontrolují a deponují.     1098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Jak chilské ministerstvo zahraničních věci, tak armáda i vlastník   1165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provozovatel elektráren je vydávají ochotně, rychle a zdarma.     1229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Všechna povolení se dají většinou sehnat v průběhu jediného dne.    1295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I přes tvar, velikost a morfologickou členitost Chile jsou mapy     1361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 této oblasti poměrně dobře dostupné, a to i ve velmi podrobném    1426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měřítku. Menší nevýhodou podrobnějších map je skutečnost, že        1488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popisují terén s převýšením několika tisíc metrů a vrstevnice po    1552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padesáti metrech nejsou pak schopné dostatečně vypovědět o jeho     1616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obtížnosti či schůdnosti. Větším nedostatkem je pak nepřesnost a    1680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častých případech i nesprávnost zakreslení. Nejvyšší polohy       1745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pokryté obvykle ledovci nemají výškopis zakreslen vůbec a jeví se   1811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jen jako velká prázdná místa se zkratkou S. V. E., zde jsou lvi,    1879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bez výškového zaměření. Ledovce jsou na mapách znázorněny ve        1941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znatelně menším rozsahu, který neodpovídá skutečnosti. Vojenští     2006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kartografové už do map zřejmě zakalkulovali faktor globálního       2068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oteplování a vydávají je s časovým předstihem. Například pod        2130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jedním andským hřebenem se na chilském území plazí tři údolní       2192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ledovce. Ty samozřejmě nemají svá oficiální jména, ale označují     2257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jako červený, střední a skrytý. Ledovce jsou spolu s vodními     2322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toky nejdůležitějšími body pro identifikaci terénu. V členitém      2386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terénu jsou určujícími útvary. Jejich chybná interpretace mívá      2450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nežádoucí následky. Dva z ledovců však nejsou zakresleny dobře,     2515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třetí chybí vůbec. Zbývá jen rozhodování podle aktuální situace.    2580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EE7AED" w:rsidRDefault="00EE7AED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pStyle w:val="Nadpis3"/>
        <w:shd w:val="clear" w:color="auto" w:fill="FFFFFF"/>
      </w:pPr>
      <w:r>
        <w:lastRenderedPageBreak/>
        <w:t>Nezaměstnanost absolventů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5C1592" w:rsidRPr="00EE7AED" w:rsidRDefault="005C1592" w:rsidP="00EE7AED">
      <w:pPr>
        <w:pStyle w:val="Nadpis2"/>
        <w:shd w:val="clear" w:color="auto" w:fill="FFFFFF"/>
        <w:spacing w:before="0" w:line="240" w:lineRule="auto"/>
        <w:rPr>
          <w:rFonts w:ascii="Courier New" w:hAnsi="Courier New" w:cs="Courier New"/>
          <w:b w:val="0"/>
          <w:color w:val="auto"/>
          <w:sz w:val="24"/>
          <w:szCs w:val="24"/>
        </w:rPr>
      </w:pPr>
      <w:r w:rsidRPr="00EE7AED">
        <w:rPr>
          <w:rFonts w:ascii="Courier New" w:hAnsi="Courier New" w:cs="Courier New"/>
          <w:b w:val="0"/>
          <w:color w:val="auto"/>
          <w:sz w:val="24"/>
          <w:szCs w:val="24"/>
        </w:rPr>
        <w:t>Ačkoliv nezaměstnanost absolventů škol výrazně souvisí s celkovou     66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ekonomickou situací v našem státě, tedy také s celkovou mírou        128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nezaměstnanosti a stavem nabídky volných míst, není pouze jejím      192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odrazem. Absolventi jsou totiž skupinou uchazečů o zaměstnání,       256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která je do značné míry handicapovaná tím, že jí chybí praktické     321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zkušenosti. Současně jsou skupinou, která je zranitelná také         383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 hlediska sociálně patologických jevů. Navíc je možnost získání     449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zaměstnání v této skupině ovlivňována vzdělanostní a oborovou        513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strukturou absolventů, kteří přicházejí na trh práce. aktivnímu      578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zapojení absolventů škol do práce je věnována značná pozornost, a    644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to zejména prostřednictvím poradenských systémů a využíváním         705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nástrojů aktivní politiky zaměstnanosti. Pro aktivní zapojování      770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absolventů do zaměstnání se zdůrazňuje potřeba preventivních         833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opatření, která začínají už v okamžiku přípravy na volbu nového      897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povolání. Každý jedinec by měl dostat natolik systematizované        960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informace, aby braly v úvahu také rizika s touto volbou spojená,    1025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případně aby respektovaly možnosti uchazeče. Příprava na volbu      1089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povolání by neměla probíhat jednorázově. Měla by mít charakter      1153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systematické školské průpravy, která by doplňovala informační       1217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servis poskytovaný výchovnými poradci na školách a pracovníky       1279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informačních a poradenských středisek úřadů práce. Významnou        1340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pomocí by měl být i projektovaný Informační systém o uplatnění      1404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absolventů na trhu práce. V této oblasti školství je třeba se       1467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zaměřovat především na obsahovou stránku odborné přípravy. Vedle    1533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aktualizace kvalifikačních požadavků se vyzdvihuje význam praxe.    1598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Praktická příprava může mít minimální podobu seznámení s reálným    1664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pracovním prostředím, které je nezbytné pro budoucí profesní        1725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uplatnění absolventů, v délce několika týdnů. V této souvislosti    1721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ovšem je nutné širší zapojení zaměstnavatelské sféry, které by      1854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mělo být podmíněno i vytvořením odpovídajících legislativních       1916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podmínek. Škola by se měla více zaměřit na osvojování takzvaných    1984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klíčových kompetencí a reflektovat tak požadavky zaměstnavatelů     2048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týkající se především ochoty učit se, komunikačních dovedností,     2112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práce s informacemi, s výpočetní technikou, jazykových znalostí     2176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celé řady sociálních kompetencí, tedy schopnosti práce v týmu,    2241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řešit problém, rozhodovat se, nést zodpovědnost, být adaptabilní    2306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flexibilní, zvládat práci v pracovním týmu a vedení. Nejvíce      2370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prezentovanými ukazateli uplatnitelnosti absolventů škol jsou       2436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absolutní počty uchazečů o zaměstnání, to znamená nezaměstnaných    2497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absolventů, míra nezaměstnanosti. Oba ukazatelé jsou důležité.      2561</w:t>
      </w: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EE7AED" w:rsidRDefault="00EE7AED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E7AED" w:rsidRDefault="00EE7AED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E7AED" w:rsidRDefault="00EE7AED" w:rsidP="00EE7AED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5C1592" w:rsidRDefault="005C1592" w:rsidP="005C1592">
      <w:pPr>
        <w:pStyle w:val="Zkladntext"/>
        <w:rPr>
          <w:u w:val="single"/>
        </w:rPr>
      </w:pPr>
      <w:r>
        <w:rPr>
          <w:u w:val="single"/>
        </w:rPr>
        <w:lastRenderedPageBreak/>
        <w:t>Státy s nevyšší výrobou obkladových materiálů</w:t>
      </w:r>
    </w:p>
    <w:p w:rsidR="005C1592" w:rsidRDefault="005C1592" w:rsidP="005C1592">
      <w:pPr>
        <w:pStyle w:val="Zkladntext"/>
      </w:pPr>
    </w:p>
    <w:p w:rsidR="005C1592" w:rsidRDefault="005C1592" w:rsidP="005C1592">
      <w:pPr>
        <w:pStyle w:val="Zkladntext"/>
      </w:pPr>
      <w:r>
        <w:t xml:space="preserve">     Současná roční světová výroba obkladových materiálů se dá odhadovat na 2 500 mil. metrů čtverečních. Jak se na ní podílejí jednotlivé státy, ukazuje tabulka, kterou vypracujete z následujících údajů. V prvním sloupci uveďte pořadí, ve druhém stát, ve třetím mil. metrů čtverečních a ve čtvrtém procento světové produkce. 1. Itálie – 453; 18,4. 2. Čína – 400; 16,2. 3. Brazílie – 234; 9,5. 4. Španělsko – 232; 9,4. 5. Německo – 71; 2,9. 6. Indonésie – 69; 2,8. 7. Thajsko – 68; 2,8. 8. Turecko – 67; 2,7. 9. Tchaj-wan – 60; 2,4. 10. Portugalsko – 51; 2,1. 11. USA – 47; 1,9. 12. Francie – 46; 1,9. 13. Rusko – 46; 1,9. 14. Japonsko – 46; 1,9. 15. Argentina – 43; 1,7.</w:t>
      </w:r>
    </w:p>
    <w:p w:rsidR="00F22CA3" w:rsidRPr="005C1592" w:rsidRDefault="00F22CA3" w:rsidP="005C1592"/>
    <w:sectPr w:rsidR="00F22CA3" w:rsidRPr="005C1592" w:rsidSect="00EE7AED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FDD" w:rsidRDefault="006C4FDD" w:rsidP="00E97737">
      <w:pPr>
        <w:spacing w:after="0" w:line="240" w:lineRule="auto"/>
      </w:pPr>
      <w:r>
        <w:separator/>
      </w:r>
    </w:p>
  </w:endnote>
  <w:endnote w:type="continuationSeparator" w:id="1">
    <w:p w:rsidR="006C4FDD" w:rsidRDefault="006C4FDD" w:rsidP="00E97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FDD" w:rsidRDefault="006C4FDD" w:rsidP="00E97737">
      <w:pPr>
        <w:spacing w:after="0" w:line="240" w:lineRule="auto"/>
      </w:pPr>
      <w:r>
        <w:separator/>
      </w:r>
    </w:p>
  </w:footnote>
  <w:footnote w:type="continuationSeparator" w:id="1">
    <w:p w:rsidR="006C4FDD" w:rsidRDefault="006C4FDD" w:rsidP="00E977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1592"/>
    <w:rsid w:val="00016F5D"/>
    <w:rsid w:val="000F0397"/>
    <w:rsid w:val="000F68B9"/>
    <w:rsid w:val="001B2DC6"/>
    <w:rsid w:val="00381F2E"/>
    <w:rsid w:val="003D1C30"/>
    <w:rsid w:val="00597585"/>
    <w:rsid w:val="005C1592"/>
    <w:rsid w:val="00605B75"/>
    <w:rsid w:val="00615008"/>
    <w:rsid w:val="0063096A"/>
    <w:rsid w:val="006C4FDD"/>
    <w:rsid w:val="00734E6E"/>
    <w:rsid w:val="008D0021"/>
    <w:rsid w:val="00A176D9"/>
    <w:rsid w:val="00BA1FDC"/>
    <w:rsid w:val="00CF0087"/>
    <w:rsid w:val="00D45EF7"/>
    <w:rsid w:val="00E25AC6"/>
    <w:rsid w:val="00E65502"/>
    <w:rsid w:val="00E97737"/>
    <w:rsid w:val="00EE7AED"/>
    <w:rsid w:val="00F04225"/>
    <w:rsid w:val="00F22CA3"/>
    <w:rsid w:val="00F70D17"/>
    <w:rsid w:val="00F87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1592"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C15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qFormat/>
    <w:rsid w:val="005C1592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5C1592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Nzev">
    <w:name w:val="Title"/>
    <w:basedOn w:val="Normln"/>
    <w:link w:val="NzevChar"/>
    <w:qFormat/>
    <w:rsid w:val="005C159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5C1592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5C1592"/>
    <w:pPr>
      <w:spacing w:after="0" w:line="240" w:lineRule="auto"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5C159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C159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C1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1592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C15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semiHidden/>
    <w:unhideWhenUsed/>
    <w:rsid w:val="00E977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97737"/>
  </w:style>
  <w:style w:type="paragraph" w:styleId="Zpat">
    <w:name w:val="footer"/>
    <w:basedOn w:val="Normln"/>
    <w:link w:val="ZpatChar"/>
    <w:uiPriority w:val="99"/>
    <w:semiHidden/>
    <w:unhideWhenUsed/>
    <w:rsid w:val="00E977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977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1227</Words>
  <Characters>7245</Characters>
  <Application>Microsoft Office Word</Application>
  <DocSecurity>0</DocSecurity>
  <Lines>60</Lines>
  <Paragraphs>16</Paragraphs>
  <ScaleCrop>false</ScaleCrop>
  <Company/>
  <LinksUpToDate>false</LinksUpToDate>
  <CharactersWithSpaces>8456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13</cp:revision>
  <dcterms:created xsi:type="dcterms:W3CDTF">2013-07-03T07:36:00Z</dcterms:created>
  <dcterms:modified xsi:type="dcterms:W3CDTF">2014-01-21T20:03:00Z</dcterms:modified>
</cp:coreProperties>
</file>