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0E" w:rsidRDefault="003C15AB" w:rsidP="00AC2A0E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3C15AB" w:rsidRPr="000C558A" w:rsidTr="00450A80">
        <w:tc>
          <w:tcPr>
            <w:tcW w:w="9212" w:type="dxa"/>
          </w:tcPr>
          <w:p w:rsidR="003C15AB" w:rsidRPr="000C558A" w:rsidRDefault="003C15AB" w:rsidP="00450A8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3C15AB" w:rsidRPr="000C558A" w:rsidRDefault="003C15AB" w:rsidP="00450A8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3C15AB" w:rsidRPr="000C558A" w:rsidRDefault="003C15AB" w:rsidP="00450A8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3C15AB" w:rsidRPr="000C558A" w:rsidTr="00450A80">
        <w:trPr>
          <w:trHeight w:val="875"/>
        </w:trPr>
        <w:tc>
          <w:tcPr>
            <w:tcW w:w="9212" w:type="dxa"/>
            <w:vAlign w:val="center"/>
          </w:tcPr>
          <w:p w:rsidR="003C15AB" w:rsidRPr="000C558A" w:rsidRDefault="003C15AB" w:rsidP="00450A8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5AB" w:rsidRPr="000C558A" w:rsidTr="00450A80">
        <w:tc>
          <w:tcPr>
            <w:tcW w:w="9212" w:type="dxa"/>
          </w:tcPr>
          <w:p w:rsidR="003C15AB" w:rsidRPr="000C558A" w:rsidRDefault="003C15AB" w:rsidP="00450A8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C15AB" w:rsidRPr="00FA1FA5" w:rsidRDefault="003C15AB" w:rsidP="00AC2A0E">
      <w:pPr>
        <w:pStyle w:val="Bezmezer"/>
        <w:rPr>
          <w:b/>
        </w:rPr>
      </w:pPr>
    </w:p>
    <w:p w:rsidR="006E68D0" w:rsidRDefault="006E68D0" w:rsidP="006E68D0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6E68D0" w:rsidRDefault="006E68D0" w:rsidP="006E68D0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color w:val="000000"/>
          <w:sz w:val="20"/>
          <w:szCs w:val="20"/>
        </w:rPr>
        <w:t>VY_32_INOVACE_32Igo20</w:t>
      </w:r>
    </w:p>
    <w:p w:rsidR="00AC2A0E" w:rsidRPr="00FA1FA5" w:rsidRDefault="006E68D0" w:rsidP="006E68D0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D314A4">
        <w:rPr>
          <w:b/>
          <w:color w:val="000000"/>
          <w:sz w:val="24"/>
          <w:szCs w:val="24"/>
        </w:rPr>
        <w:t xml:space="preserve"> </w:t>
      </w:r>
      <w:r w:rsidR="00D314A4">
        <w:rPr>
          <w:rFonts w:ascii="Times New Roman" w:hAnsi="Times New Roman"/>
          <w:bCs/>
        </w:rPr>
        <w:t>Text, tabulka č. 20.</w:t>
      </w:r>
      <w:r w:rsidR="00AC2A0E" w:rsidRPr="00FA1FA5">
        <w:rPr>
          <w:b/>
          <w:color w:val="000000"/>
          <w:sz w:val="24"/>
          <w:szCs w:val="24"/>
        </w:rPr>
        <w:tab/>
      </w:r>
      <w:r w:rsidR="00AC2A0E" w:rsidRPr="00FA1FA5">
        <w:rPr>
          <w:b/>
          <w:color w:val="000000"/>
          <w:sz w:val="24"/>
          <w:szCs w:val="24"/>
        </w:rPr>
        <w:tab/>
      </w:r>
      <w:r w:rsidR="00AC2A0E" w:rsidRPr="00FA1FA5">
        <w:rPr>
          <w:b/>
          <w:color w:val="000000"/>
          <w:sz w:val="24"/>
          <w:szCs w:val="24"/>
        </w:rPr>
        <w:tab/>
      </w:r>
      <w:r w:rsidR="00AC2A0E"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AC2A0E" w:rsidRPr="00FA1FA5" w:rsidRDefault="00AC2A0E" w:rsidP="00AC2A0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pomůcka, ale zároveň jako pomůcka při  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AC2A0E" w:rsidRPr="00FA1FA5" w:rsidRDefault="00AC2A0E" w:rsidP="00AC2A0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AC2A0E" w:rsidRDefault="00AC2A0E" w:rsidP="00AC2A0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3C15AB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podle norem vypracova</w:t>
      </w:r>
      <w:r w:rsidR="003C15AB">
        <w:rPr>
          <w:rFonts w:eastAsia="Times New Roman"/>
        </w:rPr>
        <w:t>t přehledné</w:t>
      </w:r>
      <w:r>
        <w:rPr>
          <w:rFonts w:eastAsia="Times New Roman"/>
        </w:rPr>
        <w:t xml:space="preserve"> a správné tabulky</w:t>
      </w:r>
      <w:r w:rsidRPr="00FA1FA5">
        <w:rPr>
          <w:b/>
          <w:color w:val="000000"/>
          <w:sz w:val="24"/>
          <w:szCs w:val="24"/>
        </w:rPr>
        <w:tab/>
      </w:r>
    </w:p>
    <w:p w:rsidR="00AC2A0E" w:rsidRDefault="00AC2A0E" w:rsidP="00AC2A0E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</w:t>
      </w:r>
      <w:r w:rsidR="003C15AB">
        <w:rPr>
          <w:rFonts w:eastAsia="Times New Roman"/>
        </w:rPr>
        <w:t>ená kapitola obsahuje na začátk</w:t>
      </w:r>
      <w:r w:rsidR="0032460A">
        <w:rPr>
          <w:rFonts w:eastAsia="Times New Roman"/>
        </w:rPr>
        <w:t>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rychlost, kdy jednotliv</w:t>
      </w:r>
      <w:r w:rsidR="003C15AB">
        <w:rPr>
          <w:rFonts w:eastAsia="Times New Roman"/>
        </w:rPr>
        <w:t xml:space="preserve">í vyučující </w:t>
      </w:r>
      <w:r>
        <w:rPr>
          <w:rFonts w:eastAsia="Times New Roman"/>
        </w:rPr>
        <w:t xml:space="preserve">si podle vlastního uvážení zvolí </w:t>
      </w:r>
    </w:p>
    <w:p w:rsidR="00AC2A0E" w:rsidRDefault="00AC2A0E" w:rsidP="00AC2A0E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3C15AB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AC2A0E" w:rsidRDefault="00AC2A0E" w:rsidP="00AC2A0E">
      <w:pPr>
        <w:pStyle w:val="Zkladntext"/>
      </w:pPr>
    </w:p>
    <w:p w:rsidR="00AC2A0E" w:rsidRDefault="00AC2A0E" w:rsidP="00AC2A0E">
      <w:pPr>
        <w:pStyle w:val="Nadpis3"/>
        <w:shd w:val="clear" w:color="auto" w:fill="FFFFFF"/>
      </w:pPr>
    </w:p>
    <w:p w:rsidR="00C05DAA" w:rsidRDefault="00C05DAA" w:rsidP="00C05DAA">
      <w:pPr>
        <w:rPr>
          <w:lang w:eastAsia="cs-CZ"/>
        </w:rPr>
      </w:pPr>
    </w:p>
    <w:p w:rsidR="00C05DAA" w:rsidRDefault="00C05DAA" w:rsidP="00C05DAA">
      <w:pPr>
        <w:rPr>
          <w:lang w:eastAsia="cs-CZ"/>
        </w:rPr>
      </w:pPr>
    </w:p>
    <w:p w:rsidR="00C05DAA" w:rsidRDefault="00C05DAA" w:rsidP="00C05DAA">
      <w:pPr>
        <w:rPr>
          <w:lang w:eastAsia="cs-CZ"/>
        </w:rPr>
      </w:pPr>
    </w:p>
    <w:p w:rsidR="00C05DAA" w:rsidRDefault="00C05DAA" w:rsidP="00C05DAA">
      <w:pPr>
        <w:rPr>
          <w:lang w:eastAsia="cs-CZ"/>
        </w:rPr>
      </w:pPr>
    </w:p>
    <w:p w:rsidR="00C05DAA" w:rsidRDefault="00C05DAA" w:rsidP="00C05DAA">
      <w:pPr>
        <w:rPr>
          <w:lang w:eastAsia="cs-CZ"/>
        </w:rPr>
      </w:pPr>
    </w:p>
    <w:p w:rsidR="009C62B2" w:rsidRDefault="009C62B2" w:rsidP="009C62B2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C05DAA" w:rsidRDefault="00C05DAA" w:rsidP="00C05DAA">
      <w:pPr>
        <w:rPr>
          <w:lang w:eastAsia="cs-CZ"/>
        </w:rPr>
      </w:pPr>
    </w:p>
    <w:p w:rsidR="00AC2A0E" w:rsidRDefault="00AC2A0E" w:rsidP="00AC2A0E">
      <w:pPr>
        <w:pStyle w:val="Nadpis3"/>
        <w:shd w:val="clear" w:color="auto" w:fill="FFFFFF"/>
      </w:pPr>
      <w:r>
        <w:lastRenderedPageBreak/>
        <w:t>Péče o památky</w:t>
      </w:r>
    </w:p>
    <w:p w:rsidR="00AC2A0E" w:rsidRDefault="00AC2A0E" w:rsidP="00AC2A0E">
      <w:pPr>
        <w:shd w:val="clear" w:color="auto" w:fill="FFFFFF"/>
        <w:rPr>
          <w:rFonts w:ascii="Courier" w:hAnsi="Courier"/>
          <w:sz w:val="24"/>
          <w:u w:val="single"/>
        </w:rPr>
      </w:pPr>
    </w:p>
    <w:p w:rsidR="00AC2A0E" w:rsidRPr="00C05DAA" w:rsidRDefault="00AC2A0E" w:rsidP="00C05DAA">
      <w:pPr>
        <w:pStyle w:val="Nadpis2"/>
        <w:shd w:val="clear" w:color="auto" w:fill="FFFFFF"/>
        <w:spacing w:before="0" w:line="240" w:lineRule="auto"/>
        <w:rPr>
          <w:rFonts w:ascii="Courier New" w:hAnsi="Courier New" w:cs="Courier New"/>
          <w:b w:val="0"/>
          <w:color w:val="auto"/>
          <w:sz w:val="24"/>
          <w:szCs w:val="24"/>
        </w:rPr>
      </w:pPr>
      <w:r w:rsidRPr="00C05DAA">
        <w:rPr>
          <w:rFonts w:ascii="Courier New" w:hAnsi="Courier New" w:cs="Courier New"/>
          <w:b w:val="0"/>
          <w:color w:val="auto"/>
          <w:sz w:val="24"/>
          <w:szCs w:val="24"/>
        </w:rPr>
        <w:t>Platné zákony předepisují majitelům památkově chráněných objektů      66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řadu povinností. Pro tyto objekty to je ale nedostatečná ochrana,    133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protože na vymáhání jejich plnění není pamatováno v dostatečné       196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míře. Zákon o státní památkové péči rozlišuje po právní stránce      261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odlišné kategorie památkově chráněných nemovitostí. Mohou to být     327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nemovité kulturní památky nebo nemovitosti, které sice kulturními    393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památkami nejsou, ale leží v památkových rezervacích, památkových    459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zónách a ochranných památkových pásmech. Povinnost majitele na       524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 náklady pečovat o památku je samozřejmá a nezastupitelná.    590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Podle zákona musí památku chránit před jakýmkoli poškozením.         652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Vlastník je také povinen informovat okresní a stavební úřad o        715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změnách stavu památky, o jejím ohrožení, ale i o změně užívání.      779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Oznamovací povinnost má rovněž vůči Ministerstvu kultury a vůči      845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Státnímu ústavu památkové péče. S oznamováním uvedených změn jsou    913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vlastníci často v prodlení. Orgánům památkové péče komplikuje        976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práci vymáhání toho, aby majitel plnil všechny své povinnosti.      1039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Jednou z povinností majitele je také nutnost strpět průzkum a       1102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vědecký nebo archeologický výzkum. V případě zamýšleného prodeje    1168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kulturní památky je rovněž povinen ji přednostně nabídnout státu.   1224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Pokud by tuto povinnost nedodržel a vlastnictví by převedl na       1297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jinou osobu, byl by právní úkon neplatný. Když nemovitost, která    1363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kulturní památkou, je převedena na někoho jiného, někomu je      1426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přenechána k dočasnému užívání nebo je předána k provedení obnovy   1492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či k jinému účelu, je povinností majitele uvědomit toho, na koho    1557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ji převádí nebo komu ji přenechává, o tom, že se jedná o kulturní   1623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památku. Uvedené povinnosti se samozřejmě nevztahují jenom na       1686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vlastníka. Platí i pro správce kulturní památky, jejího uživatele   1753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toho, kdo s ní nakládá jako se svou v dobré víře, že mu patří.    1818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Když vlastník kulturní památky zákonem uložené povinnosti neplní,   1885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může okresní úřad sám nařídit provedení prací k zajištění její      1948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ochrany. Vydá rozhodnutí o opatřeních, která je vlastník povinen    2014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učinit, a určí lhůtu pro jejich provedení. Pokud by byla památka    2080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bez povolení změněna, může úřad nařídit její uvedení do původního   2146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stavu. Vymahatelnost těchto opatření je však zatím nedostatečná.    2212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Podnikatelům i soukromým osobám lze také uložit pokutu. Krajním     2278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opatřením je vyvlastnění stavby. Zatím je tento způsob nápravy u    2344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nás málo využíván. Nejfrekventovanějšími ustanoveními zákona o      2408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státní památkové péči jsou ustanovení týkající se obnovy. Pokud     2473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vlastník zamýšlí provést údržbu, opravu, rekonstrukci nebo jinou    2538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úpravu, je povinen si předem vyžádat stanovisko krajského úřadu.    2602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</w:t>
      </w:r>
      <w:r w:rsidR="00C05DAA">
        <w:rPr>
          <w:rFonts w:ascii="Courier" w:hAnsi="Courier"/>
          <w:sz w:val="24"/>
        </w:rPr>
        <w:t>,</w:t>
      </w:r>
    </w:p>
    <w:p w:rsidR="00C05DAA" w:rsidRDefault="00C05DAA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pStyle w:val="Nadpis3"/>
        <w:shd w:val="clear" w:color="auto" w:fill="FFFFFF"/>
      </w:pPr>
      <w:r>
        <w:lastRenderedPageBreak/>
        <w:t>Utajované skutečnosti</w:t>
      </w:r>
    </w:p>
    <w:p w:rsidR="00C05DAA" w:rsidRDefault="00C05DAA" w:rsidP="00C05DA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AC2A0E" w:rsidRPr="00C05DAA" w:rsidRDefault="00AC2A0E" w:rsidP="00C05DAA">
      <w:pPr>
        <w:pStyle w:val="Nadpis2"/>
        <w:shd w:val="clear" w:color="auto" w:fill="FFFFFF"/>
        <w:spacing w:before="0" w:line="240" w:lineRule="auto"/>
        <w:rPr>
          <w:rFonts w:ascii="Courier New" w:hAnsi="Courier New" w:cs="Courier New"/>
          <w:b w:val="0"/>
          <w:color w:val="auto"/>
          <w:sz w:val="24"/>
          <w:szCs w:val="24"/>
        </w:rPr>
      </w:pPr>
      <w:r w:rsidRPr="00C05DAA">
        <w:rPr>
          <w:rFonts w:ascii="Courier New" w:hAnsi="Courier New" w:cs="Courier New"/>
          <w:b w:val="0"/>
          <w:color w:val="auto"/>
          <w:sz w:val="24"/>
          <w:szCs w:val="24"/>
        </w:rPr>
        <w:t>Někteří lidé se při vykonávání své práce zabývají i utajovanými       65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skutečnostmi. Zákon tento pojem definuje tak, že neoprávněné         127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nakládání s utajovanou skutečností by mohlo způsobit újmu jednak     192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zájmům naší republiky, jednak zájmům, k jejichž ochraně se naše      256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republika zavázala. Patří sem i jednání, které by mohlo být pro      321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tyto zájmy nevýhodné. Do oblasti utajovaných skutečností patří       385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vše, co je uvedeno v seznamu zpracovávaném Národním bezpečnostním    452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úřadem. Návrhy na položky seznamu podávají ústřední úřady. Druh      518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utajení se označuje jako přísně tajné, tajné, důvěrné a vyhrazené    584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písemnosti. Utajovanými písemnostmi nejsou však jen listiny, ale     650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nosná média a jiné materiály jakékoli podoby, které obsahují       713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chráněné informace. Aby bylo zajištěno, že takové materiály se       777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nedostanou do nepovolaných rukou, podrobují se osoby, které mají     842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nimi zacházet, bezpečnostním prověrkám a ověřování psychické a     907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zdravotní způsobilosti. Jde přitom o komplex opatření sledujících    974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především vyloučení rizika selhání lidského faktoru a chránících    1039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určenou osobu před možným nátlakem a zneužitím. Přitom smyslem      1103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stanovení zdravotní způsobilosti je hlavně snaha zabránit možnému   1169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přístupu k chráněným informacím takovým osobám, které by mohly      1232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představovat riziko, že nebudou schopny v důsledku vlastního        1293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zdravotního stavu kontrolovat své chování nebo jednání. Smyslem     1358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psychologického vyšetření je hlouběji ověřit osobnostní skladbu     1422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zkoumané osoby a zachytit její rizikové vlastnosti. Takto vybraní   1489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prověření lidé potom mají povinnost mlčenlivosti, to znamená      1552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povinnost nesdělovat tajné informace osobě, která není oprávněna    1617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s nimi seznamovat. Kromě opatření, která mají zajistit v této    1683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oblasti personální bezpečnost, je ovšem důležité také zajištění     1747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bezpečnosti administrativní. Tím se rozumí úplný systém takových    1813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opatření, jejichž cílem je ochrana utajovaných skutečností při      1876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jejich tvorbě, příjmu, evidenci, zpracování, přepravě, dále při     1942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ukládání, vyřazování, skartaci a archivaci, případně i některé      2005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další manipulaci. Národní bezpečnostní úřad vydal vyhlášku, která   2072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podrobně upravuje jednotlivé činnosti. Protože v organizacích       2135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může dojít časem k personálním změnám nebo dokonce i k zániku       2197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organizace, je i v tomto případě zaveden pevný řád. Při odchodu     2262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pověřené osoby z funkce se musí provést komisionální předání        2323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písemností. Pokud však dojde dokonce k zániku organizace, pak se    2389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 písemnosti předat organizaci, která je poskytla, nebo také     2453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jejím právním nástupcům, případně opět Národnímu bezpečnostnímu     2518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úřadu, aby tak utajení informací mohlo být náležitě zabezpečeno.    2582</w:t>
      </w: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C05DAA" w:rsidRDefault="00C05DAA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C05DAA" w:rsidRDefault="00C05DAA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C05DAA" w:rsidRDefault="00C05DAA" w:rsidP="00C05DA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C2A0E" w:rsidRDefault="00AC2A0E" w:rsidP="00AC2A0E">
      <w:pPr>
        <w:pStyle w:val="Zkladntext"/>
        <w:rPr>
          <w:u w:val="single"/>
        </w:rPr>
      </w:pPr>
      <w:r>
        <w:rPr>
          <w:u w:val="single"/>
        </w:rPr>
        <w:lastRenderedPageBreak/>
        <w:t>Kapacita některých věznic</w:t>
      </w:r>
      <w:r>
        <w:t xml:space="preserve"> </w:t>
      </w:r>
    </w:p>
    <w:p w:rsidR="00AC2A0E" w:rsidRDefault="00AC2A0E" w:rsidP="00AC2A0E">
      <w:pPr>
        <w:pStyle w:val="Zkladntext"/>
      </w:pPr>
    </w:p>
    <w:p w:rsidR="00AC2A0E" w:rsidRDefault="00AC2A0E" w:rsidP="00AC2A0E">
      <w:pPr>
        <w:pStyle w:val="Zkladntext"/>
      </w:pPr>
      <w:r>
        <w:t xml:space="preserve">     Vypracujte tabulku, která porovnává kapacitu některých věznic se skutečným stavem vězněných osob (údaje jsou z října loňského roku). Brno – kapacita – 694; skutečný stav 807. Horní Slavkov – 732; 944. Jiřice – 120; 170. Kuřim – 660; 708. Ostrov – 989; 1 166. Praha (Pankrác) – 1 078; 1 280. Praha (Ruzyň) – 913; 1 122. Valdice – 1 342; 1 597.</w:t>
      </w:r>
    </w:p>
    <w:p w:rsidR="00F22CA3" w:rsidRDefault="00F22CA3"/>
    <w:sectPr w:rsidR="00F22CA3" w:rsidSect="00C05DAA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59C" w:rsidRDefault="0091059C" w:rsidP="004732B8">
      <w:pPr>
        <w:spacing w:after="0" w:line="240" w:lineRule="auto"/>
      </w:pPr>
      <w:r>
        <w:separator/>
      </w:r>
    </w:p>
  </w:endnote>
  <w:endnote w:type="continuationSeparator" w:id="1">
    <w:p w:rsidR="0091059C" w:rsidRDefault="0091059C" w:rsidP="00473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59C" w:rsidRDefault="0091059C" w:rsidP="004732B8">
      <w:pPr>
        <w:spacing w:after="0" w:line="240" w:lineRule="auto"/>
      </w:pPr>
      <w:r>
        <w:separator/>
      </w:r>
    </w:p>
  </w:footnote>
  <w:footnote w:type="continuationSeparator" w:id="1">
    <w:p w:rsidR="0091059C" w:rsidRDefault="0091059C" w:rsidP="004732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2A0E"/>
    <w:rsid w:val="00016F5D"/>
    <w:rsid w:val="00123686"/>
    <w:rsid w:val="001810B0"/>
    <w:rsid w:val="00237D42"/>
    <w:rsid w:val="002F3333"/>
    <w:rsid w:val="0032460A"/>
    <w:rsid w:val="00381F2E"/>
    <w:rsid w:val="00385463"/>
    <w:rsid w:val="003A46F7"/>
    <w:rsid w:val="003C15AB"/>
    <w:rsid w:val="003C5C2D"/>
    <w:rsid w:val="004732B8"/>
    <w:rsid w:val="005C2757"/>
    <w:rsid w:val="005D3F81"/>
    <w:rsid w:val="005F6F0A"/>
    <w:rsid w:val="006677BB"/>
    <w:rsid w:val="006E68D0"/>
    <w:rsid w:val="00893F6A"/>
    <w:rsid w:val="008C1395"/>
    <w:rsid w:val="0091059C"/>
    <w:rsid w:val="009C62B2"/>
    <w:rsid w:val="00AC2A0E"/>
    <w:rsid w:val="00BC01CE"/>
    <w:rsid w:val="00C05DAA"/>
    <w:rsid w:val="00D314A4"/>
    <w:rsid w:val="00E1566E"/>
    <w:rsid w:val="00E53EEA"/>
    <w:rsid w:val="00F22CA3"/>
    <w:rsid w:val="00FA0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A0E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C2A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AC2A0E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AC2A0E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Nzev">
    <w:name w:val="Title"/>
    <w:basedOn w:val="Normln"/>
    <w:link w:val="NzevChar"/>
    <w:qFormat/>
    <w:rsid w:val="00AC2A0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AC2A0E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AC2A0E"/>
    <w:pPr>
      <w:spacing w:after="0" w:line="240" w:lineRule="auto"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AC2A0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C2A0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2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A0E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C2A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473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32B8"/>
  </w:style>
  <w:style w:type="paragraph" w:styleId="Zpat">
    <w:name w:val="footer"/>
    <w:basedOn w:val="Normln"/>
    <w:link w:val="ZpatChar"/>
    <w:uiPriority w:val="99"/>
    <w:semiHidden/>
    <w:unhideWhenUsed/>
    <w:rsid w:val="00473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3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1178</Words>
  <Characters>6952</Characters>
  <Application>Microsoft Office Word</Application>
  <DocSecurity>0</DocSecurity>
  <Lines>57</Lines>
  <Paragraphs>16</Paragraphs>
  <ScaleCrop>false</ScaleCrop>
  <Company/>
  <LinksUpToDate>false</LinksUpToDate>
  <CharactersWithSpaces>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15</cp:revision>
  <dcterms:created xsi:type="dcterms:W3CDTF">2013-07-03T07:40:00Z</dcterms:created>
  <dcterms:modified xsi:type="dcterms:W3CDTF">2014-01-21T20:02:00Z</dcterms:modified>
</cp:coreProperties>
</file>