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2B045F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</w:p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2B045F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2B045F" w:rsidRPr="002B045F" w:rsidRDefault="00174091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  <w:r>
        <w:rPr>
          <w:rFonts w:eastAsia="Lucida Sans Unicode" w:cs="Mangal"/>
          <w:noProof/>
          <w:kern w:val="1"/>
          <w:lang w:eastAsia="cs-CZ"/>
        </w:rPr>
        <w:drawing>
          <wp:inline distT="0" distB="0" distL="0" distR="0">
            <wp:extent cx="5764530" cy="111188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9305" b="27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1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Název: Finanční gramotnost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Šablona: VI/2</w:t>
      </w:r>
    </w:p>
    <w:p w:rsidR="00F7037B" w:rsidRPr="00F7037B" w:rsidRDefault="00210B91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Pořadové číslo: FG 8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Autor: Mgr. Božena Špilínková, ZŠ Choltice</w:t>
      </w:r>
    </w:p>
    <w:p w:rsidR="00F7037B" w:rsidRPr="00F7037B" w:rsidRDefault="00833F72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 xml:space="preserve">Datum: </w:t>
      </w:r>
      <w:r w:rsidR="00210B91">
        <w:rPr>
          <w:rFonts w:eastAsia="Times New Roman"/>
          <w:b/>
          <w:bCs/>
          <w:color w:val="000000"/>
          <w:kern w:val="2"/>
          <w:lang w:eastAsia="hi-IN" w:bidi="hi-IN"/>
        </w:rPr>
        <w:t>29</w:t>
      </w:r>
      <w:r w:rsidR="00242FA1">
        <w:rPr>
          <w:rFonts w:eastAsia="Times New Roman"/>
          <w:b/>
          <w:bCs/>
          <w:color w:val="000000"/>
          <w:kern w:val="2"/>
          <w:lang w:eastAsia="hi-IN" w:bidi="hi-IN"/>
        </w:rPr>
        <w:t>. 10</w:t>
      </w:r>
      <w:r w:rsidR="00F7037B" w:rsidRPr="00F7037B">
        <w:rPr>
          <w:rFonts w:eastAsia="Times New Roman"/>
          <w:b/>
          <w:bCs/>
          <w:color w:val="000000"/>
          <w:kern w:val="2"/>
          <w:lang w:eastAsia="hi-IN" w:bidi="hi-IN"/>
        </w:rPr>
        <w:t>. 2012</w:t>
      </w:r>
    </w:p>
    <w:p w:rsidR="00F7037B" w:rsidRPr="00F7037B" w:rsidRDefault="00DE78AF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Třída: 9</w:t>
      </w:r>
      <w:r w:rsidR="00F7037B" w:rsidRPr="00F7037B">
        <w:rPr>
          <w:rFonts w:eastAsia="Times New Roman"/>
          <w:b/>
          <w:bCs/>
          <w:color w:val="000000"/>
          <w:kern w:val="2"/>
          <w:lang w:eastAsia="hi-IN" w:bidi="hi-IN"/>
        </w:rPr>
        <w:t>.</w:t>
      </w:r>
    </w:p>
    <w:p w:rsidR="00F7037B" w:rsidRDefault="00F7037B" w:rsidP="00F7037B"/>
    <w:p w:rsidR="00F7037B" w:rsidRDefault="00F7037B" w:rsidP="00F7037B">
      <w:pPr>
        <w:widowControl w:val="0"/>
        <w:suppressAutoHyphens/>
        <w:autoSpaceDE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1. Té</w:t>
      </w:r>
      <w:r w:rsidR="00242FA1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ma</w:t>
      </w:r>
      <w:r w:rsidR="00242FA1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 w:rsidR="008447E0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Finanční produkty</w:t>
      </w:r>
    </w:p>
    <w:p w:rsidR="008447E0" w:rsidRPr="008447E0" w:rsidRDefault="008447E0" w:rsidP="00F7037B">
      <w:pPr>
        <w:widowControl w:val="0"/>
        <w:suppressAutoHyphens/>
        <w:autoSpaceDE w:val="0"/>
        <w:jc w:val="both"/>
        <w:rPr>
          <w:rFonts w:eastAsia="Times New Roman"/>
          <w:bCs/>
          <w:color w:val="000000"/>
          <w:kern w:val="2"/>
          <w:sz w:val="32"/>
          <w:szCs w:val="3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 w:rsidR="00210B91">
        <w:rPr>
          <w:rFonts w:eastAsia="Times New Roman"/>
          <w:bCs/>
          <w:color w:val="000000"/>
          <w:kern w:val="2"/>
          <w:sz w:val="32"/>
          <w:szCs w:val="32"/>
          <w:lang w:eastAsia="hi-IN" w:bidi="hi-IN"/>
        </w:rPr>
        <w:t>Pojištění</w:t>
      </w:r>
    </w:p>
    <w:p w:rsidR="00CB0B65" w:rsidRPr="00F7037B" w:rsidRDefault="00DE50BB" w:rsidP="00A778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037B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</w:p>
    <w:p w:rsidR="00F7037B" w:rsidRPr="001F48C1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 w:rsidRPr="001F48C1">
        <w:rPr>
          <w:b/>
          <w:bCs/>
          <w:sz w:val="32"/>
          <w:szCs w:val="32"/>
        </w:rPr>
        <w:t>3. Klíčová slova</w:t>
      </w:r>
    </w:p>
    <w:p w:rsidR="0081571D" w:rsidRPr="001F48C1" w:rsidRDefault="001A4051" w:rsidP="00B67022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Pojistitel, pojistná částka, pojistná doba, pojistná událost, pojistné, pojistné krytí, pojistné plnění, pojistník, pojištěný, škodové pojištění, obnosové pojištění, životní pojištění, neživotní pojištění</w:t>
      </w:r>
    </w:p>
    <w:p w:rsidR="001F48C1" w:rsidRDefault="001F48C1" w:rsidP="00B67022">
      <w:pPr>
        <w:pStyle w:val="Default"/>
        <w:jc w:val="both"/>
        <w:rPr>
          <w:b/>
          <w:bCs/>
          <w:sz w:val="32"/>
          <w:szCs w:val="32"/>
        </w:rPr>
      </w:pPr>
    </w:p>
    <w:p w:rsidR="00B67022" w:rsidRDefault="00B67022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CB0B65" w:rsidRDefault="00CB0B65" w:rsidP="00A778A4">
      <w:pPr>
        <w:jc w:val="both"/>
      </w:pPr>
    </w:p>
    <w:p w:rsidR="003E1A18" w:rsidRDefault="00495F74" w:rsidP="00495F74">
      <w:pPr>
        <w:numPr>
          <w:ilvl w:val="0"/>
          <w:numId w:val="1"/>
        </w:numPr>
        <w:jc w:val="both"/>
      </w:pPr>
      <w:r>
        <w:t>Upozornit na smysl pojištění</w:t>
      </w:r>
    </w:p>
    <w:p w:rsidR="00495F74" w:rsidRDefault="00495F74" w:rsidP="00495F74">
      <w:pPr>
        <w:numPr>
          <w:ilvl w:val="0"/>
          <w:numId w:val="1"/>
        </w:numPr>
        <w:jc w:val="both"/>
      </w:pPr>
      <w:r>
        <w:t>Vysvětlit základní druhy pojištění</w:t>
      </w:r>
    </w:p>
    <w:p w:rsidR="00A934D1" w:rsidRDefault="00A934D1" w:rsidP="00210B91">
      <w:pPr>
        <w:ind w:left="720"/>
        <w:jc w:val="both"/>
      </w:pPr>
    </w:p>
    <w:p w:rsidR="00FF5DC4" w:rsidRDefault="00FF5DC4" w:rsidP="00E92047">
      <w:pPr>
        <w:jc w:val="both"/>
      </w:pPr>
    </w:p>
    <w:p w:rsidR="00B67022" w:rsidRDefault="00DE78AF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Základní pojmy</w:t>
      </w:r>
    </w:p>
    <w:p w:rsidR="0002654F" w:rsidRDefault="0002654F" w:rsidP="00210B91">
      <w:pPr>
        <w:autoSpaceDE w:val="0"/>
        <w:autoSpaceDN w:val="0"/>
        <w:adjustRightInd w:val="0"/>
        <w:jc w:val="both"/>
        <w:rPr>
          <w:color w:val="000000"/>
          <w:sz w:val="23"/>
          <w:szCs w:val="23"/>
          <w:lang w:eastAsia="hi-IN"/>
        </w:rPr>
      </w:pPr>
    </w:p>
    <w:p w:rsidR="00495F74" w:rsidRDefault="00495F74" w:rsidP="00210B91">
      <w:pPr>
        <w:autoSpaceDE w:val="0"/>
        <w:autoSpaceDN w:val="0"/>
        <w:adjustRightInd w:val="0"/>
        <w:jc w:val="both"/>
        <w:rPr>
          <w:color w:val="000000"/>
          <w:sz w:val="23"/>
          <w:szCs w:val="23"/>
          <w:lang w:eastAsia="hi-IN"/>
        </w:rPr>
      </w:pPr>
      <w:r>
        <w:rPr>
          <w:color w:val="000000"/>
          <w:sz w:val="23"/>
          <w:szCs w:val="23"/>
          <w:lang w:eastAsia="hi-IN"/>
        </w:rPr>
        <w:t>Pojištění je systém, v němž se lidé, rodiny i firmy snaží předejít negativním dopadům určitých událostí. Dohodnou se s pojišťovnou, která je k tomu speciálně určená, že jí budou v pravidelných intervalech platit určitou sumu peněz, aby se pokryli před škodou, která jim může vzniknout při určité události. Když se tak stane, ona instituce, které se říká pojišťovna, jim</w:t>
      </w:r>
      <w:r w:rsidR="00174091">
        <w:rPr>
          <w:color w:val="000000"/>
          <w:sz w:val="23"/>
          <w:szCs w:val="23"/>
          <w:lang w:eastAsia="hi-IN"/>
        </w:rPr>
        <w:t xml:space="preserve"> vzniklou škodu, nebo její část</w:t>
      </w:r>
      <w:r>
        <w:rPr>
          <w:color w:val="000000"/>
          <w:sz w:val="23"/>
          <w:szCs w:val="23"/>
          <w:lang w:eastAsia="hi-IN"/>
        </w:rPr>
        <w:t>, uhradí.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lastRenderedPageBreak/>
        <w:t xml:space="preserve">Pojistitel </w:t>
      </w:r>
      <w:r>
        <w:t>– pojišťovna, u které si pojištění sjednáváte. Platíte jí pojistné, a ona má naopak povinnost poskytnout vám pojistné plnění v případě, že nastane pojistná událost.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 xml:space="preserve">Pojistná částka </w:t>
      </w:r>
      <w:r>
        <w:t>– částka pojistného plnění splatná pojišťovnou při splnění podmínek a okolností stanovených v pojistné smlouvě. 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 xml:space="preserve">Pojistná doba </w:t>
      </w:r>
      <w:r>
        <w:t>– doba, na kterou se uzavírá pojistná smlouva. Pokud během této doby dojde k pojistné události, je pojišťovna povinna vyplatit dohodnuté plnění.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 xml:space="preserve">Pojistná událost </w:t>
      </w:r>
      <w:r>
        <w:t>– nahodilá skutečnost, se kterou je spojen vznik povinnosti pojišťovny vyplatit dohodnuté plnění (např. úraz, nemoc, úmrtí).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>Pojistné</w:t>
      </w:r>
      <w:r>
        <w:t xml:space="preserve"> – peníze, které platíte pojišťovně za poskytování pojišťovacích služeb.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 xml:space="preserve">Pojistné krytí </w:t>
      </w:r>
      <w:r>
        <w:t>– rozsah sjednaných rizik, která máte zahrnuta ve své smlouvě; v přiložených podmínkách jsou detailně popsána pravidla a podmínky, za kterých je pojišťovna povinna plnit, a naopak při kterých plnit nemusí.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 xml:space="preserve">Pojistné plnění – </w:t>
      </w:r>
      <w:r>
        <w:t>jednorázová částka nebo důchod, které vám podle pojistné smlouvy poskytne pojišťovna v případě vzniku pojistné události.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>Pojistné podmínky</w:t>
      </w:r>
      <w:r>
        <w:t xml:space="preserve"> – podmínky obsahující zejména vymezení vzniku, trvání a zániku pojištění, vymezení pojistné události, stanovení podmínek, za kterých nevzniká pojistiteli povinnost poskytnout pojistné plnění, způsob určení rozsahu pojistného plnění a jeho splatnost.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 xml:space="preserve">Pojistník </w:t>
      </w:r>
      <w:r>
        <w:t>– je ten, kdo uzavřel s pojistitelem pojistnou smlouvu a je povinen platit pojistné. Často je pojištěný a pojistník tatáž osoba. V případě dětského pojištění je pojištěným dítě a pojistníkem rodič.</w:t>
      </w:r>
    </w:p>
    <w:p w:rsidR="0002654F" w:rsidRDefault="0002654F" w:rsidP="0002654F">
      <w:pPr>
        <w:pStyle w:val="Normlnweb"/>
        <w:jc w:val="both"/>
      </w:pPr>
      <w:r>
        <w:rPr>
          <w:rStyle w:val="Siln"/>
        </w:rPr>
        <w:t>Pojištěný</w:t>
      </w:r>
      <w:r>
        <w:t xml:space="preserve"> – ten, na jehož majetek, život, zdraví nebo na jehož odpovědnost za škody se pojistná ochrana vztahuje.</w:t>
      </w:r>
    </w:p>
    <w:p w:rsidR="0002654F" w:rsidRDefault="0002654F" w:rsidP="0002654F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02654F" w:rsidRDefault="0002654F" w:rsidP="0002654F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02654F" w:rsidRDefault="0002654F" w:rsidP="0002654F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02654F">
        <w:rPr>
          <w:rFonts w:eastAsia="Times New Roman"/>
          <w:lang w:eastAsia="cs-CZ"/>
        </w:rPr>
        <w:t>Pro lepší orientaci si pojištění rozdělí</w:t>
      </w:r>
      <w:r>
        <w:rPr>
          <w:rFonts w:eastAsia="Times New Roman"/>
          <w:lang w:eastAsia="cs-CZ"/>
        </w:rPr>
        <w:t>me podle dvou hledisek:</w:t>
      </w:r>
    </w:p>
    <w:p w:rsidR="0002654F" w:rsidRDefault="0002654F" w:rsidP="00495F7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02654F">
        <w:rPr>
          <w:rFonts w:eastAsia="Times New Roman"/>
          <w:lang w:eastAsia="cs-CZ"/>
        </w:rPr>
        <w:t>prvním hlediskem je rozdělení na škodová a obnosová pojištění,</w:t>
      </w:r>
    </w:p>
    <w:p w:rsidR="0002654F" w:rsidRPr="0002654F" w:rsidRDefault="0002654F" w:rsidP="00495F74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02654F">
        <w:rPr>
          <w:rFonts w:eastAsia="Times New Roman"/>
          <w:lang w:eastAsia="cs-CZ"/>
        </w:rPr>
        <w:t>druhým hlediskem je, co pojišťujeme – osoby nebo majetek.</w:t>
      </w:r>
    </w:p>
    <w:p w:rsidR="0002654F" w:rsidRDefault="0002654F" w:rsidP="0002654F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02654F" w:rsidRDefault="0002654F" w:rsidP="0002654F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02654F">
        <w:rPr>
          <w:rFonts w:eastAsia="Times New Roman"/>
          <w:b/>
          <w:u w:val="single"/>
          <w:lang w:eastAsia="cs-CZ"/>
        </w:rPr>
        <w:t>Škodová pojištění</w:t>
      </w:r>
      <w:r w:rsidRPr="0002654F">
        <w:rPr>
          <w:rFonts w:eastAsia="Times New Roman"/>
          <w:lang w:eastAsia="cs-CZ"/>
        </w:rPr>
        <w:t xml:space="preserve"> nahrazují určitou výši škody, která vznikla v důsledku pojistné události.</w:t>
      </w:r>
      <w:r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Pojišťovna vyčíslí, kolik škoda činila, a proplatí nám tuto částku.</w:t>
      </w:r>
    </w:p>
    <w:p w:rsidR="0002654F" w:rsidRDefault="0002654F" w:rsidP="0002654F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02654F" w:rsidRDefault="0002654F" w:rsidP="0002654F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02654F" w:rsidRDefault="0002654F" w:rsidP="0002654F">
      <w:pPr>
        <w:autoSpaceDE w:val="0"/>
        <w:autoSpaceDN w:val="0"/>
        <w:adjustRightInd w:val="0"/>
        <w:rPr>
          <w:rFonts w:eastAsia="Times New Roman"/>
          <w:lang w:eastAsia="cs-CZ"/>
        </w:rPr>
      </w:pPr>
      <w:r w:rsidRPr="0002654F">
        <w:rPr>
          <w:rFonts w:eastAsia="Times New Roman"/>
          <w:b/>
          <w:u w:val="single"/>
          <w:lang w:eastAsia="cs-CZ"/>
        </w:rPr>
        <w:t>Obnosová pojištění</w:t>
      </w:r>
      <w:r w:rsidRPr="0002654F">
        <w:rPr>
          <w:rFonts w:eastAsia="Times New Roman"/>
          <w:lang w:eastAsia="cs-CZ"/>
        </w:rPr>
        <w:t xml:space="preserve"> jsou taková pojištění, kde vyplácená pojistná náhrada nezávisí na výši</w:t>
      </w:r>
      <w:r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škody, která vznikla. Tuto škodu by v některých případech bylo obtížné, ba nemožné vyčíslit</w:t>
      </w:r>
      <w:r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– například u životního pojištění. Proto výše pojistného plnění není dána velikostí této</w:t>
      </w:r>
      <w:r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„škody“, ale výší pojistné částky, kterou si pojištěný s pojistníkem sjednal (zjednodušeně</w:t>
      </w:r>
      <w:r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čá</w:t>
      </w:r>
      <w:r>
        <w:rPr>
          <w:rFonts w:eastAsia="Times New Roman"/>
          <w:lang w:eastAsia="cs-CZ"/>
        </w:rPr>
        <w:t xml:space="preserve">stka, </w:t>
      </w:r>
      <w:r w:rsidRPr="0002654F">
        <w:rPr>
          <w:rFonts w:eastAsia="Times New Roman"/>
          <w:lang w:eastAsia="cs-CZ"/>
        </w:rPr>
        <w:t>na kterou si pojištěný cení svého zdraví).</w:t>
      </w:r>
    </w:p>
    <w:p w:rsidR="0002654F" w:rsidRDefault="0002654F" w:rsidP="0002654F">
      <w:pPr>
        <w:autoSpaceDE w:val="0"/>
        <w:autoSpaceDN w:val="0"/>
        <w:adjustRightInd w:val="0"/>
        <w:rPr>
          <w:rFonts w:eastAsia="Times New Roman"/>
          <w:lang w:eastAsia="cs-CZ"/>
        </w:rPr>
      </w:pPr>
    </w:p>
    <w:p w:rsidR="0002654F" w:rsidRDefault="00174091" w:rsidP="0002654F">
      <w:pPr>
        <w:autoSpaceDE w:val="0"/>
        <w:autoSpaceDN w:val="0"/>
        <w:adjustRightInd w:val="0"/>
        <w:rPr>
          <w:rFonts w:eastAsia="Times New Roman"/>
          <w:lang w:eastAsia="cs-CZ"/>
        </w:rPr>
      </w:pPr>
      <w:r>
        <w:rPr>
          <w:rFonts w:eastAsia="Times New Roman"/>
          <w:noProof/>
          <w:lang w:eastAsia="cs-CZ"/>
        </w:rPr>
        <w:lastRenderedPageBreak/>
        <w:drawing>
          <wp:inline distT="0" distB="0" distL="0" distR="0">
            <wp:extent cx="5398770" cy="183642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183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54F" w:rsidRPr="001A4051" w:rsidRDefault="0002654F" w:rsidP="001A4051">
      <w:pPr>
        <w:widowControl w:val="0"/>
        <w:suppressAutoHyphens/>
        <w:autoSpaceDE w:val="0"/>
        <w:spacing w:after="200" w:line="276" w:lineRule="auto"/>
        <w:rPr>
          <w:rFonts w:eastAsia="Times New Roman"/>
          <w:color w:val="000000"/>
          <w:kern w:val="1"/>
          <w:sz w:val="20"/>
          <w:szCs w:val="20"/>
          <w:lang w:eastAsia="hi-IN" w:bidi="hi-IN"/>
        </w:rPr>
      </w:pPr>
      <w:r w:rsidRPr="001A4051">
        <w:rPr>
          <w:rFonts w:eastAsia="Times New Roman"/>
          <w:sz w:val="20"/>
          <w:szCs w:val="20"/>
          <w:lang w:eastAsia="cs-CZ"/>
        </w:rPr>
        <w:t xml:space="preserve">Zdroj: </w:t>
      </w:r>
      <w:r w:rsidR="001A4051" w:rsidRPr="001A4051">
        <w:rPr>
          <w:rFonts w:eastAsia="Times New Roman"/>
          <w:color w:val="000000"/>
          <w:kern w:val="1"/>
          <w:sz w:val="20"/>
          <w:szCs w:val="20"/>
          <w:lang w:eastAsia="hi-IN" w:bidi="hi-IN"/>
        </w:rPr>
        <w:t xml:space="preserve">Klínský, P. a kol.: </w:t>
      </w:r>
      <w:r w:rsidR="001A4051" w:rsidRPr="001A4051">
        <w:rPr>
          <w:rFonts w:eastAsia="Times New Roman"/>
          <w:i/>
          <w:iCs/>
          <w:color w:val="000000"/>
          <w:kern w:val="1"/>
          <w:sz w:val="20"/>
          <w:szCs w:val="20"/>
          <w:lang w:eastAsia="hi-IN" w:bidi="hi-IN"/>
        </w:rPr>
        <w:t>Finanční gramotnost. Obsah a příklady z praxe škol</w:t>
      </w:r>
      <w:r w:rsidR="001A4051" w:rsidRPr="001A4051">
        <w:rPr>
          <w:rFonts w:eastAsia="Times New Roman"/>
          <w:color w:val="000000"/>
          <w:kern w:val="1"/>
          <w:sz w:val="20"/>
          <w:szCs w:val="20"/>
          <w:lang w:eastAsia="hi-IN" w:bidi="hi-IN"/>
        </w:rPr>
        <w:t>. Národní ústav odborného vzdělávání, Praha 2008. ISBN 978-80-87063-13-2, str. 74.</w:t>
      </w:r>
    </w:p>
    <w:p w:rsidR="0002654F" w:rsidRDefault="0002654F" w:rsidP="0002654F">
      <w:pPr>
        <w:autoSpaceDE w:val="0"/>
        <w:autoSpaceDN w:val="0"/>
        <w:adjustRightInd w:val="0"/>
        <w:rPr>
          <w:rFonts w:eastAsia="Times New Roman"/>
          <w:lang w:eastAsia="cs-CZ"/>
        </w:rPr>
      </w:pPr>
    </w:p>
    <w:p w:rsidR="00A62DB4" w:rsidRDefault="0002654F" w:rsidP="00A62DB4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02654F">
        <w:rPr>
          <w:rFonts w:eastAsia="Times New Roman"/>
          <w:lang w:eastAsia="cs-CZ"/>
        </w:rPr>
        <w:t xml:space="preserve">Poznamenejme, že pojištění se často dělí také na </w:t>
      </w:r>
      <w:r w:rsidRPr="00A62DB4">
        <w:rPr>
          <w:rFonts w:eastAsia="Times New Roman"/>
          <w:b/>
          <w:u w:val="single"/>
          <w:lang w:eastAsia="cs-CZ"/>
        </w:rPr>
        <w:t>životní a neživotní</w:t>
      </w:r>
      <w:r w:rsidRPr="0002654F">
        <w:rPr>
          <w:rFonts w:eastAsia="Times New Roman"/>
          <w:lang w:eastAsia="cs-CZ"/>
        </w:rPr>
        <w:t xml:space="preserve">. </w:t>
      </w:r>
      <w:r w:rsidRPr="00A62DB4">
        <w:rPr>
          <w:rFonts w:eastAsia="Times New Roman"/>
          <w:u w:val="single"/>
          <w:lang w:eastAsia="cs-CZ"/>
        </w:rPr>
        <w:t>Životní pojištění</w:t>
      </w:r>
      <w:r w:rsidR="00A62DB4"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jsou pojištění osob, která zahrnují pojištění pro případ smrti, dožití se určitého věku nebo</w:t>
      </w:r>
      <w:r w:rsidR="00A62DB4"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obě dohromady. Pojištění bývá někdy rozšiřováno o další druhy krytí rizik (nemoc, úraz,</w:t>
      </w:r>
      <w:r w:rsidR="00A62DB4"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invalidita).</w:t>
      </w:r>
    </w:p>
    <w:p w:rsidR="00A62DB4" w:rsidRDefault="00A62DB4" w:rsidP="00A62DB4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A62DB4" w:rsidRPr="00A62DB4" w:rsidRDefault="00A62DB4" w:rsidP="00A62DB4">
      <w:pPr>
        <w:autoSpaceDE w:val="0"/>
        <w:autoSpaceDN w:val="0"/>
        <w:adjustRightInd w:val="0"/>
        <w:jc w:val="both"/>
        <w:rPr>
          <w:rFonts w:eastAsia="Times New Roman"/>
          <w:u w:val="single"/>
          <w:lang w:eastAsia="cs-CZ"/>
        </w:rPr>
      </w:pPr>
      <w:r w:rsidRPr="00A62DB4">
        <w:rPr>
          <w:rFonts w:eastAsia="Times New Roman"/>
          <w:u w:val="single"/>
          <w:lang w:eastAsia="cs-CZ"/>
        </w:rPr>
        <w:t>Druhy životního pojištění:</w:t>
      </w:r>
    </w:p>
    <w:p w:rsidR="00A62DB4" w:rsidRPr="00A62DB4" w:rsidRDefault="00A62DB4" w:rsidP="00495F74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  <w:lang w:eastAsia="cs-CZ"/>
        </w:rPr>
      </w:pPr>
      <w:r w:rsidRPr="00A62DB4">
        <w:rPr>
          <w:rFonts w:eastAsia="Times New Roman"/>
          <w:b/>
          <w:lang w:eastAsia="cs-CZ"/>
        </w:rPr>
        <w:t>rizikové</w:t>
      </w:r>
      <w:r w:rsidRPr="00A62DB4">
        <w:rPr>
          <w:rFonts w:eastAsia="Times New Roman"/>
          <w:lang w:eastAsia="cs-CZ"/>
        </w:rPr>
        <w:t xml:space="preserve"> - pouze na rizika; nejčastěji používané při zajištění úvěru; po uplynutí sjednané pojistné doby zaniká bez náhrady; zaplacené pojistné nelze odečítat od daňového základu</w:t>
      </w:r>
    </w:p>
    <w:p w:rsidR="00A62DB4" w:rsidRPr="00A62DB4" w:rsidRDefault="00A62DB4" w:rsidP="00495F74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  <w:lang w:eastAsia="cs-CZ"/>
        </w:rPr>
      </w:pPr>
      <w:r w:rsidRPr="00A62DB4">
        <w:rPr>
          <w:rFonts w:eastAsia="Times New Roman"/>
          <w:b/>
          <w:lang w:eastAsia="cs-CZ"/>
        </w:rPr>
        <w:t>kapitálové</w:t>
      </w:r>
      <w:r w:rsidRPr="00A62DB4">
        <w:rPr>
          <w:rFonts w:eastAsia="Times New Roman"/>
          <w:lang w:eastAsia="cs-CZ"/>
        </w:rPr>
        <w:t xml:space="preserve"> - spojuje širokou pojistnou ochranu zdraví a života se spořením, prostředky zhodnocované technickou úrokovou mírou + podíly na výnosech pojistitele; daňové odpočty</w:t>
      </w:r>
    </w:p>
    <w:p w:rsidR="00A62DB4" w:rsidRPr="00A62DB4" w:rsidRDefault="00A62DB4" w:rsidP="00495F74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  <w:lang w:eastAsia="cs-CZ"/>
        </w:rPr>
      </w:pPr>
      <w:r w:rsidRPr="00A62DB4">
        <w:rPr>
          <w:rFonts w:eastAsia="Times New Roman"/>
          <w:b/>
          <w:lang w:eastAsia="cs-CZ"/>
        </w:rPr>
        <w:t>smíšené</w:t>
      </w:r>
      <w:r w:rsidRPr="00A62DB4">
        <w:rPr>
          <w:rFonts w:eastAsia="Times New Roman"/>
          <w:lang w:eastAsia="cs-CZ"/>
        </w:rPr>
        <w:t xml:space="preserve"> - komplexní zajištění rizik podle potřeb pojištěné osoby; možnost pojištění více osob; možnost daňových odpočtů</w:t>
      </w:r>
    </w:p>
    <w:p w:rsidR="00A62DB4" w:rsidRPr="00A62DB4" w:rsidRDefault="00A62DB4" w:rsidP="00495F74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  <w:lang w:eastAsia="cs-CZ"/>
        </w:rPr>
      </w:pPr>
      <w:hyperlink r:id="rId7" w:tooltip="Investiční životní pojištění" w:history="1">
        <w:r w:rsidRPr="00A62DB4">
          <w:rPr>
            <w:rFonts w:eastAsia="Times New Roman"/>
            <w:b/>
            <w:lang w:eastAsia="cs-CZ"/>
          </w:rPr>
          <w:t>investiční</w:t>
        </w:r>
      </w:hyperlink>
      <w:r w:rsidRPr="00A62DB4">
        <w:rPr>
          <w:rFonts w:eastAsia="Times New Roman"/>
          <w:lang w:eastAsia="cs-CZ"/>
        </w:rPr>
        <w:t xml:space="preserve"> - v současné době nejvíce využívané; vyšší zhodnocení vložených prostředků než u kapitálového životního pojištění díky investici do aktiv</w:t>
      </w:r>
    </w:p>
    <w:p w:rsidR="00A62DB4" w:rsidRPr="00A62DB4" w:rsidRDefault="00A62DB4" w:rsidP="00495F74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  <w:lang w:eastAsia="cs-CZ"/>
        </w:rPr>
      </w:pPr>
      <w:r w:rsidRPr="00A62DB4">
        <w:rPr>
          <w:rFonts w:eastAsia="Times New Roman"/>
          <w:b/>
          <w:lang w:eastAsia="cs-CZ"/>
        </w:rPr>
        <w:t>důchodové</w:t>
      </w:r>
      <w:r w:rsidRPr="00A62DB4">
        <w:rPr>
          <w:rFonts w:eastAsia="Times New Roman"/>
          <w:lang w:eastAsia="cs-CZ"/>
        </w:rPr>
        <w:t xml:space="preserve"> - obdoba kapitálového pojištění; ve smlouvě je sjednán roční nebo důchod pojistná částka při dožití; základním cílem je zvýšení </w:t>
      </w:r>
      <w:hyperlink r:id="rId8" w:tooltip="Život" w:history="1">
        <w:r w:rsidRPr="00A62DB4">
          <w:rPr>
            <w:rFonts w:eastAsia="Times New Roman"/>
            <w:lang w:eastAsia="cs-CZ"/>
          </w:rPr>
          <w:t>životního</w:t>
        </w:r>
      </w:hyperlink>
      <w:r w:rsidRPr="00A62DB4">
        <w:rPr>
          <w:rFonts w:eastAsia="Times New Roman"/>
          <w:lang w:eastAsia="cs-CZ"/>
        </w:rPr>
        <w:t xml:space="preserve"> standardu v seniorském </w:t>
      </w:r>
      <w:hyperlink r:id="rId9" w:tooltip="Věk" w:history="1">
        <w:r w:rsidRPr="00A62DB4">
          <w:rPr>
            <w:rFonts w:eastAsia="Times New Roman"/>
            <w:lang w:eastAsia="cs-CZ"/>
          </w:rPr>
          <w:t>věku</w:t>
        </w:r>
      </w:hyperlink>
    </w:p>
    <w:p w:rsidR="00A62DB4" w:rsidRDefault="00A62DB4" w:rsidP="00A62DB4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A62DB4" w:rsidRDefault="0002654F" w:rsidP="00A62DB4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A62DB4">
        <w:rPr>
          <w:rFonts w:eastAsia="Times New Roman"/>
          <w:u w:val="single"/>
          <w:lang w:eastAsia="cs-CZ"/>
        </w:rPr>
        <w:t>Neživotními pojištěními</w:t>
      </w:r>
      <w:r w:rsidRPr="0002654F">
        <w:rPr>
          <w:rFonts w:eastAsia="Times New Roman"/>
          <w:lang w:eastAsia="cs-CZ"/>
        </w:rPr>
        <w:t xml:space="preserve"> pak označujeme veškeré ostatní druhy pojištění. Jde tedy o pojištění</w:t>
      </w:r>
      <w:r w:rsidR="00A62DB4">
        <w:rPr>
          <w:rFonts w:eastAsia="Times New Roman"/>
          <w:lang w:eastAsia="cs-CZ"/>
        </w:rPr>
        <w:t xml:space="preserve"> </w:t>
      </w:r>
      <w:r w:rsidRPr="0002654F">
        <w:rPr>
          <w:rFonts w:eastAsia="Times New Roman"/>
          <w:lang w:eastAsia="cs-CZ"/>
        </w:rPr>
        <w:t>věcí a jiného majetku, pojištění odpovědnosti za škody a také pojištění podnikatelů.</w:t>
      </w:r>
    </w:p>
    <w:p w:rsidR="00A62DB4" w:rsidRDefault="00A62DB4" w:rsidP="00A62DB4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</w:p>
    <w:p w:rsidR="00F97578" w:rsidRPr="00A62DB4" w:rsidRDefault="00D336FD" w:rsidP="00A62DB4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D336FD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6. Cvičení</w:t>
      </w:r>
    </w:p>
    <w:p w:rsidR="00DE78AF" w:rsidRDefault="00DE78AF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1A4051" w:rsidRPr="001A4051" w:rsidRDefault="00B13FEE" w:rsidP="001A4051">
      <w:pPr>
        <w:autoSpaceDE w:val="0"/>
        <w:autoSpaceDN w:val="0"/>
        <w:adjustRightInd w:val="0"/>
        <w:rPr>
          <w:rFonts w:eastAsia="Times New Roman"/>
          <w:b/>
          <w:color w:val="000000"/>
          <w:kern w:val="2"/>
          <w:sz w:val="23"/>
          <w:szCs w:val="23"/>
          <w:lang w:eastAsia="hi-IN" w:bidi="hi-IN"/>
        </w:rPr>
      </w:pPr>
      <w:r w:rsidRPr="00B13FEE">
        <w:rPr>
          <w:b/>
          <w:u w:val="single"/>
        </w:rPr>
        <w:t>Cvičení 1</w:t>
      </w:r>
      <w:r w:rsidRPr="00D336FD">
        <w:rPr>
          <w:b/>
        </w:rPr>
        <w:t>:</w:t>
      </w:r>
      <w:r w:rsidR="000954A3">
        <w:rPr>
          <w:b/>
        </w:rPr>
        <w:t xml:space="preserve"> </w:t>
      </w:r>
      <w:r w:rsidR="001A4051" w:rsidRPr="001A4051">
        <w:rPr>
          <w:rFonts w:eastAsia="Times New Roman"/>
          <w:b/>
          <w:color w:val="000000"/>
          <w:kern w:val="2"/>
          <w:sz w:val="23"/>
          <w:szCs w:val="23"/>
          <w:lang w:eastAsia="hi-IN" w:bidi="hi-IN"/>
        </w:rPr>
        <w:t>V září následujícího školního roku se chystáte na zahraniční exkurzi do Říma. Vyjmenujte rizika, která cesta přináší, a přiřaďte jim vhodné pojištění.</w:t>
      </w:r>
    </w:p>
    <w:p w:rsidR="00F97578" w:rsidRPr="009C6BF2" w:rsidRDefault="00F97578" w:rsidP="00F97578">
      <w:pPr>
        <w:autoSpaceDE w:val="0"/>
        <w:autoSpaceDN w:val="0"/>
        <w:adjustRightInd w:val="0"/>
        <w:jc w:val="both"/>
      </w:pPr>
    </w:p>
    <w:p w:rsidR="001A4051" w:rsidRDefault="00F97578" w:rsidP="001A4051">
      <w:pPr>
        <w:autoSpaceDE w:val="0"/>
        <w:autoSpaceDN w:val="0"/>
        <w:adjustRightInd w:val="0"/>
        <w:rPr>
          <w:b/>
        </w:rPr>
      </w:pPr>
      <w:r w:rsidRPr="00F97578">
        <w:rPr>
          <w:b/>
          <w:u w:val="single"/>
        </w:rPr>
        <w:t>Řešení:</w:t>
      </w:r>
      <w:r w:rsidRPr="00F97578">
        <w:rPr>
          <w:b/>
        </w:rPr>
        <w:t xml:space="preserve"> </w:t>
      </w:r>
    </w:p>
    <w:p w:rsidR="001A4051" w:rsidRDefault="001A4051" w:rsidP="001A4051">
      <w:pPr>
        <w:autoSpaceDE w:val="0"/>
        <w:autoSpaceDN w:val="0"/>
        <w:adjustRightInd w:val="0"/>
        <w:rPr>
          <w:b/>
        </w:rPr>
      </w:pPr>
    </w:p>
    <w:p w:rsidR="000954A3" w:rsidRPr="001A4051" w:rsidRDefault="001A4051" w:rsidP="001A4051">
      <w:pPr>
        <w:autoSpaceDE w:val="0"/>
        <w:autoSpaceDN w:val="0"/>
        <w:adjustRightInd w:val="0"/>
        <w:rPr>
          <w:rFonts w:eastAsia="Times New Roman"/>
          <w:color w:val="000000"/>
          <w:kern w:val="2"/>
          <w:sz w:val="23"/>
          <w:szCs w:val="23"/>
          <w:lang w:eastAsia="hi-IN" w:bidi="hi-IN"/>
        </w:rPr>
      </w:pPr>
      <w:r w:rsidRPr="001A4051">
        <w:rPr>
          <w:rFonts w:eastAsia="Times New Roman"/>
          <w:color w:val="000000"/>
          <w:kern w:val="2"/>
          <w:sz w:val="23"/>
          <w:szCs w:val="23"/>
          <w:lang w:eastAsia="hi-IN" w:bidi="hi-IN"/>
        </w:rPr>
        <w:t>Nemoc, úraz – zdravotní pojištění (ze zákona) a pojištění léčebných výloh; způ</w:t>
      </w:r>
      <w:r>
        <w:rPr>
          <w:rFonts w:eastAsia="Times New Roman"/>
          <w:color w:val="000000"/>
          <w:kern w:val="2"/>
          <w:sz w:val="23"/>
          <w:szCs w:val="23"/>
          <w:lang w:eastAsia="hi-IN" w:bidi="hi-IN"/>
        </w:rPr>
        <w:t xml:space="preserve">sobená </w:t>
      </w:r>
      <w:r w:rsidRPr="001A4051">
        <w:rPr>
          <w:rFonts w:eastAsia="Times New Roman"/>
          <w:color w:val="000000"/>
          <w:kern w:val="2"/>
          <w:sz w:val="23"/>
          <w:szCs w:val="23"/>
          <w:lang w:eastAsia="hi-IN" w:bidi="hi-IN"/>
        </w:rPr>
        <w:t>škoda – pojištění odpovědnosti za š</w:t>
      </w:r>
      <w:r>
        <w:rPr>
          <w:rFonts w:eastAsia="Times New Roman"/>
          <w:color w:val="000000"/>
          <w:kern w:val="2"/>
          <w:sz w:val="23"/>
          <w:szCs w:val="23"/>
          <w:lang w:eastAsia="hi-IN" w:bidi="hi-IN"/>
        </w:rPr>
        <w:t>kodu; ztráta zavaza</w:t>
      </w:r>
      <w:r w:rsidRPr="001A4051">
        <w:rPr>
          <w:rFonts w:eastAsia="Times New Roman"/>
          <w:color w:val="000000"/>
          <w:kern w:val="2"/>
          <w:sz w:val="23"/>
          <w:szCs w:val="23"/>
          <w:lang w:eastAsia="hi-IN" w:bidi="hi-IN"/>
        </w:rPr>
        <w:t>del, poškození – cestovní</w:t>
      </w:r>
      <w:r>
        <w:rPr>
          <w:rFonts w:eastAsia="Times New Roman"/>
          <w:color w:val="000000"/>
          <w:kern w:val="2"/>
          <w:sz w:val="23"/>
          <w:szCs w:val="23"/>
          <w:lang w:eastAsia="hi-IN" w:bidi="hi-IN"/>
        </w:rPr>
        <w:t xml:space="preserve"> </w:t>
      </w:r>
      <w:r w:rsidRPr="001A4051">
        <w:rPr>
          <w:rFonts w:eastAsia="Times New Roman"/>
          <w:color w:val="000000"/>
          <w:kern w:val="2"/>
          <w:sz w:val="23"/>
          <w:szCs w:val="23"/>
          <w:lang w:eastAsia="hi-IN" w:bidi="hi-IN"/>
        </w:rPr>
        <w:t>pojištění.</w:t>
      </w:r>
    </w:p>
    <w:p w:rsidR="0012615D" w:rsidRDefault="0012615D" w:rsidP="000954A3">
      <w:pPr>
        <w:autoSpaceDE w:val="0"/>
        <w:autoSpaceDN w:val="0"/>
        <w:adjustRightInd w:val="0"/>
        <w:rPr>
          <w:b/>
        </w:rPr>
      </w:pPr>
    </w:p>
    <w:p w:rsidR="0012615D" w:rsidRPr="0012615D" w:rsidRDefault="0012615D" w:rsidP="0012615D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2"/>
          <w:sz w:val="23"/>
          <w:szCs w:val="23"/>
          <w:lang w:eastAsia="hi-IN" w:bidi="hi-IN"/>
        </w:rPr>
      </w:pPr>
    </w:p>
    <w:p w:rsidR="001A4051" w:rsidRPr="001A4051" w:rsidRDefault="00586849" w:rsidP="001A4051">
      <w:pPr>
        <w:autoSpaceDE w:val="0"/>
        <w:autoSpaceDN w:val="0"/>
        <w:adjustRightInd w:val="0"/>
        <w:rPr>
          <w:rFonts w:eastAsia="Times New Roman"/>
          <w:b/>
          <w:color w:val="000000"/>
          <w:kern w:val="2"/>
          <w:sz w:val="23"/>
          <w:szCs w:val="23"/>
          <w:lang w:eastAsia="hi-IN" w:bidi="hi-IN"/>
        </w:rPr>
      </w:pPr>
      <w:r w:rsidRPr="00586849">
        <w:rPr>
          <w:b/>
          <w:u w:val="single"/>
        </w:rPr>
        <w:lastRenderedPageBreak/>
        <w:t>Cvičení 2</w:t>
      </w:r>
      <w:r w:rsidR="000954A3">
        <w:rPr>
          <w:b/>
          <w:u w:val="single"/>
        </w:rPr>
        <w:t xml:space="preserve"> </w:t>
      </w:r>
      <w:r w:rsidR="000954A3" w:rsidRPr="001B6AB2">
        <w:rPr>
          <w:rFonts w:ascii="HelveticaCE-BoldOblique" w:hAnsi="HelveticaCE-BoldOblique" w:cs="HelveticaCE-BoldOblique"/>
          <w:b/>
          <w:bCs/>
          <w:i/>
          <w:iCs/>
          <w:color w:val="231F20"/>
          <w:sz w:val="18"/>
          <w:szCs w:val="18"/>
          <w:lang w:eastAsia="cs-CZ"/>
        </w:rPr>
        <w:t xml:space="preserve">: </w:t>
      </w:r>
      <w:r w:rsidR="001B6AB2" w:rsidRPr="001B6AB2">
        <w:rPr>
          <w:rFonts w:ascii="HelveticaCE-BoldOblique" w:hAnsi="HelveticaCE-BoldOblique" w:cs="HelveticaCE-BoldOblique"/>
          <w:b/>
          <w:bCs/>
          <w:i/>
          <w:iCs/>
          <w:color w:val="231F20"/>
          <w:sz w:val="18"/>
          <w:szCs w:val="18"/>
          <w:lang w:eastAsia="cs-CZ"/>
        </w:rPr>
        <w:t xml:space="preserve"> </w:t>
      </w:r>
      <w:r w:rsidR="001A4051" w:rsidRPr="001A4051">
        <w:rPr>
          <w:rFonts w:eastAsia="Times New Roman"/>
          <w:b/>
          <w:color w:val="000000"/>
          <w:kern w:val="2"/>
          <w:sz w:val="23"/>
          <w:szCs w:val="23"/>
          <w:lang w:eastAsia="hi-IN" w:bidi="hi-IN"/>
        </w:rPr>
        <w:t>Vaši rodiče vlastní rodinný domek a zahradu. Vaše domácnost má odpovídající vybavení (nábytek, elektrospotřebiče apod.). Jaký druh pojištění by bylo vhodné uzavřít?</w:t>
      </w:r>
    </w:p>
    <w:p w:rsidR="009C6BF2" w:rsidRDefault="009C6BF2" w:rsidP="001A4051">
      <w:pPr>
        <w:autoSpaceDE w:val="0"/>
        <w:autoSpaceDN w:val="0"/>
        <w:adjustRightInd w:val="0"/>
        <w:rPr>
          <w:rFonts w:eastAsia="Times New Roman"/>
          <w:color w:val="000000"/>
          <w:kern w:val="2"/>
          <w:sz w:val="23"/>
          <w:szCs w:val="23"/>
          <w:lang w:eastAsia="hi-IN" w:bidi="hi-IN"/>
        </w:rPr>
      </w:pPr>
    </w:p>
    <w:p w:rsidR="0012615D" w:rsidRDefault="0012615D" w:rsidP="0012615D">
      <w:pPr>
        <w:autoSpaceDE w:val="0"/>
        <w:autoSpaceDN w:val="0"/>
        <w:adjustRightInd w:val="0"/>
        <w:ind w:left="360"/>
        <w:rPr>
          <w:rFonts w:eastAsia="Times New Roman"/>
          <w:color w:val="000000"/>
          <w:kern w:val="2"/>
          <w:sz w:val="23"/>
          <w:szCs w:val="23"/>
          <w:lang w:eastAsia="hi-IN" w:bidi="hi-IN"/>
        </w:rPr>
      </w:pPr>
    </w:p>
    <w:p w:rsidR="00586849" w:rsidRDefault="00586849" w:rsidP="00F97578">
      <w:pPr>
        <w:autoSpaceDE w:val="0"/>
        <w:autoSpaceDN w:val="0"/>
        <w:adjustRightInd w:val="0"/>
        <w:jc w:val="both"/>
      </w:pPr>
      <w:r w:rsidRPr="00586849">
        <w:rPr>
          <w:b/>
          <w:u w:val="single"/>
        </w:rPr>
        <w:t>Řešení</w:t>
      </w:r>
      <w:r w:rsidRPr="009C6BF2">
        <w:t>:</w:t>
      </w:r>
      <w:r w:rsidR="009C6BF2" w:rsidRPr="009C6BF2">
        <w:t xml:space="preserve"> </w:t>
      </w:r>
    </w:p>
    <w:p w:rsidR="001A4051" w:rsidRPr="001A4051" w:rsidRDefault="001A4051" w:rsidP="00F97578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1A4051" w:rsidRPr="001A4051" w:rsidRDefault="001A4051" w:rsidP="00F97578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1A4051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Pojištění nemovitosti (dům, zahrada), pojištění domácnosti (vybavení domácnosti).</w:t>
      </w:r>
    </w:p>
    <w:p w:rsidR="0012615D" w:rsidRDefault="0012615D" w:rsidP="00F97578">
      <w:pPr>
        <w:autoSpaceDE w:val="0"/>
        <w:autoSpaceDN w:val="0"/>
        <w:adjustRightInd w:val="0"/>
        <w:jc w:val="both"/>
      </w:pPr>
    </w:p>
    <w:p w:rsidR="00E95492" w:rsidRDefault="00E95492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</w:p>
    <w:p w:rsidR="00B67022" w:rsidRPr="00DC4A57" w:rsidRDefault="00B67022" w:rsidP="00F97578">
      <w:pPr>
        <w:autoSpaceDE w:val="0"/>
        <w:autoSpaceDN w:val="0"/>
        <w:adjustRightInd w:val="0"/>
        <w:jc w:val="both"/>
        <w:rPr>
          <w:b/>
          <w:u w:val="single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t xml:space="preserve">7. Pomůcky, zdroje a odkazy </w:t>
      </w:r>
    </w:p>
    <w:p w:rsidR="001C0882" w:rsidRPr="001C0882" w:rsidRDefault="001C0882" w:rsidP="00F97578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70733C" w:rsidRPr="00F97578" w:rsidRDefault="00DC4A57" w:rsidP="00495F74">
      <w:pPr>
        <w:widowControl w:val="0"/>
        <w:numPr>
          <w:ilvl w:val="0"/>
          <w:numId w:val="2"/>
        </w:numPr>
        <w:suppressAutoHyphens/>
        <w:autoSpaceDE w:val="0"/>
        <w:spacing w:after="200" w:line="276" w:lineRule="auto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DC4A57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Klínský, P. a kol.: </w:t>
      </w:r>
      <w:r w:rsidRPr="00DC4A57">
        <w:rPr>
          <w:rFonts w:eastAsia="Times New Roman"/>
          <w:i/>
          <w:iCs/>
          <w:color w:val="000000"/>
          <w:kern w:val="1"/>
          <w:sz w:val="23"/>
          <w:szCs w:val="23"/>
          <w:lang w:eastAsia="hi-IN" w:bidi="hi-IN"/>
        </w:rPr>
        <w:t>Finanční gramotnost. Obsah a příklady z praxe škol</w:t>
      </w:r>
      <w:r w:rsidRPr="00DC4A57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. Národní ústav odborného vzdělávání, Praha 2008. ISB</w:t>
      </w:r>
      <w:r w:rsidR="0012615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N 978-80-87063-13-2, str. </w:t>
      </w:r>
      <w:r w:rsidR="001A4051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74</w:t>
      </w:r>
      <w:r w:rsidR="004E2A35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.</w:t>
      </w:r>
    </w:p>
    <w:p w:rsidR="009C6BF2" w:rsidRDefault="009C6BF2" w:rsidP="00495F7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  <w:r w:rsidRPr="00775A83">
        <w:rPr>
          <w:rFonts w:eastAsia="Times New Roman"/>
          <w:color w:val="000000"/>
          <w:sz w:val="23"/>
          <w:szCs w:val="23"/>
          <w:lang w:eastAsia="cs-CZ"/>
        </w:rPr>
        <w:t xml:space="preserve">Klínský, P. a kol.: </w:t>
      </w:r>
      <w:r w:rsidRPr="00775A83">
        <w:rPr>
          <w:rFonts w:eastAsia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775A83">
        <w:rPr>
          <w:rFonts w:eastAsia="Times New Roman"/>
          <w:color w:val="000000"/>
          <w:sz w:val="23"/>
          <w:szCs w:val="23"/>
          <w:lang w:eastAsia="cs-CZ"/>
        </w:rPr>
        <w:t>. Národní ústav odborného vzdělávání, Praha 2009</w:t>
      </w:r>
      <w:r>
        <w:rPr>
          <w:rFonts w:eastAsia="Times New Roman"/>
          <w:color w:val="000000"/>
          <w:sz w:val="23"/>
          <w:szCs w:val="23"/>
          <w:lang w:eastAsia="cs-CZ"/>
        </w:rPr>
        <w:t>.</w:t>
      </w:r>
      <w:r w:rsidR="0012615D">
        <w:rPr>
          <w:rFonts w:eastAsia="Times New Roman"/>
          <w:color w:val="000000"/>
          <w:sz w:val="23"/>
          <w:szCs w:val="23"/>
          <w:lang w:eastAsia="cs-CZ"/>
        </w:rPr>
        <w:t xml:space="preserve"> ISBN 978-80-87063-26-2, str</w:t>
      </w:r>
      <w:r w:rsidR="001A4051">
        <w:rPr>
          <w:rFonts w:eastAsia="Times New Roman"/>
          <w:color w:val="000000"/>
          <w:sz w:val="23"/>
          <w:szCs w:val="23"/>
          <w:lang w:eastAsia="cs-CZ"/>
        </w:rPr>
        <w:t xml:space="preserve">. </w:t>
      </w:r>
      <w:r w:rsidR="0012615D">
        <w:rPr>
          <w:rFonts w:eastAsia="Times New Roman"/>
          <w:color w:val="000000"/>
          <w:sz w:val="23"/>
          <w:szCs w:val="23"/>
          <w:lang w:eastAsia="cs-CZ"/>
        </w:rPr>
        <w:t>23 a 70</w:t>
      </w:r>
      <w:r w:rsidRPr="00775A83">
        <w:rPr>
          <w:rFonts w:eastAsia="Times New Roman"/>
          <w:color w:val="000000"/>
          <w:sz w:val="23"/>
          <w:szCs w:val="23"/>
          <w:lang w:eastAsia="cs-CZ"/>
        </w:rPr>
        <w:t>.</w:t>
      </w:r>
    </w:p>
    <w:p w:rsidR="001A4051" w:rsidRDefault="001A4051" w:rsidP="001A405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1A4051" w:rsidRDefault="001A4051" w:rsidP="00495F7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  <w:hyperlink r:id="rId10" w:history="1">
        <w:r w:rsidRPr="00B156E8">
          <w:rPr>
            <w:rStyle w:val="Hypertextovodkaz"/>
            <w:rFonts w:eastAsia="Times New Roman"/>
            <w:sz w:val="23"/>
            <w:szCs w:val="23"/>
            <w:lang w:eastAsia="cs-CZ"/>
          </w:rPr>
          <w:t>http://www.pojistovnacs.cz/zivotni-pojisteni/slovnicek/</w:t>
        </w:r>
      </w:hyperlink>
    </w:p>
    <w:p w:rsidR="001A4051" w:rsidRDefault="001A4051" w:rsidP="001A4051">
      <w:pPr>
        <w:pStyle w:val="Odstavecseseznamem"/>
        <w:rPr>
          <w:rFonts w:eastAsia="Times New Roman"/>
          <w:color w:val="000000"/>
          <w:sz w:val="23"/>
          <w:szCs w:val="23"/>
          <w:lang w:eastAsia="cs-CZ"/>
        </w:rPr>
      </w:pPr>
    </w:p>
    <w:p w:rsidR="001A4051" w:rsidRDefault="001A4051" w:rsidP="001A4051">
      <w:pPr>
        <w:widowControl w:val="0"/>
        <w:suppressAutoHyphens/>
        <w:autoSpaceDE w:val="0"/>
        <w:autoSpaceDN w:val="0"/>
        <w:adjustRightInd w:val="0"/>
        <w:ind w:left="108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1A4051" w:rsidRDefault="001A4051" w:rsidP="00495F7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  <w:hyperlink r:id="rId11" w:history="1">
        <w:r w:rsidRPr="00B156E8">
          <w:rPr>
            <w:rStyle w:val="Hypertextovodkaz"/>
            <w:rFonts w:eastAsia="Times New Roman"/>
            <w:sz w:val="23"/>
            <w:szCs w:val="23"/>
            <w:lang w:eastAsia="cs-CZ"/>
          </w:rPr>
          <w:t>http://cs.wikipedia.org/wiki/%C5%BDivotn%C3%AD_poji%C5%A1t%C4%9Bn%C3%AD#Druhy_.C5.BEivotn.C3.ADch_poji.C5.A1t.C4.9Bn.C3.AD</w:t>
        </w:r>
      </w:hyperlink>
    </w:p>
    <w:p w:rsidR="001A4051" w:rsidRDefault="001A4051" w:rsidP="001A4051">
      <w:pPr>
        <w:widowControl w:val="0"/>
        <w:suppressAutoHyphens/>
        <w:autoSpaceDE w:val="0"/>
        <w:autoSpaceDN w:val="0"/>
        <w:adjustRightInd w:val="0"/>
        <w:ind w:left="108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A62DB4" w:rsidRPr="00775A83" w:rsidRDefault="00A62DB4" w:rsidP="00A62DB4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DA6E30" w:rsidRPr="00DA6E30" w:rsidRDefault="00DA6E30" w:rsidP="00F97578">
      <w:pPr>
        <w:autoSpaceDE w:val="0"/>
        <w:autoSpaceDN w:val="0"/>
        <w:adjustRightInd w:val="0"/>
        <w:ind w:left="1068"/>
        <w:jc w:val="both"/>
        <w:rPr>
          <w:rFonts w:eastAsia="Times New Roman"/>
          <w:bCs/>
          <w:iCs/>
          <w:color w:val="000000"/>
          <w:lang w:eastAsia="cs-CZ"/>
        </w:rPr>
      </w:pPr>
    </w:p>
    <w:p w:rsidR="00CB0B65" w:rsidRDefault="00B67022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t>8. Poznámky</w:t>
      </w:r>
    </w:p>
    <w:p w:rsidR="00AD6357" w:rsidRDefault="00AD6357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</w:p>
    <w:sectPr w:rsidR="00AD6357" w:rsidSect="00A134A3">
      <w:type w:val="continuous"/>
      <w:pgSz w:w="11905" w:h="16837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HelveticaCE-BoldObliqu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4A0"/>
    <w:multiLevelType w:val="hybridMultilevel"/>
    <w:tmpl w:val="FC74791C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02467F"/>
    <w:multiLevelType w:val="hybridMultilevel"/>
    <w:tmpl w:val="13782B86"/>
    <w:lvl w:ilvl="0" w:tplc="5502AD4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4111A1"/>
    <w:multiLevelType w:val="multilevel"/>
    <w:tmpl w:val="1122A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783C92"/>
    <w:multiLevelType w:val="hybridMultilevel"/>
    <w:tmpl w:val="A8E26AF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compat>
    <w:useFELayout/>
  </w:compat>
  <w:rsids>
    <w:rsidRoot w:val="003718AC"/>
    <w:rsid w:val="00004C52"/>
    <w:rsid w:val="0002654F"/>
    <w:rsid w:val="00053916"/>
    <w:rsid w:val="00061262"/>
    <w:rsid w:val="000869D7"/>
    <w:rsid w:val="000954A3"/>
    <w:rsid w:val="000A2F70"/>
    <w:rsid w:val="000B6C1E"/>
    <w:rsid w:val="000E0D67"/>
    <w:rsid w:val="000E4E39"/>
    <w:rsid w:val="00107A32"/>
    <w:rsid w:val="0012615D"/>
    <w:rsid w:val="001404DE"/>
    <w:rsid w:val="00174091"/>
    <w:rsid w:val="00190605"/>
    <w:rsid w:val="001A4051"/>
    <w:rsid w:val="001A48D0"/>
    <w:rsid w:val="001B6AB2"/>
    <w:rsid w:val="001C0882"/>
    <w:rsid w:val="001D1510"/>
    <w:rsid w:val="001F01BE"/>
    <w:rsid w:val="001F48C1"/>
    <w:rsid w:val="00210B91"/>
    <w:rsid w:val="00240692"/>
    <w:rsid w:val="00242FA1"/>
    <w:rsid w:val="002437DC"/>
    <w:rsid w:val="002535C0"/>
    <w:rsid w:val="00264719"/>
    <w:rsid w:val="00275EDC"/>
    <w:rsid w:val="00281459"/>
    <w:rsid w:val="00287F96"/>
    <w:rsid w:val="00290678"/>
    <w:rsid w:val="002B045F"/>
    <w:rsid w:val="002B72F5"/>
    <w:rsid w:val="002C61EE"/>
    <w:rsid w:val="002D3970"/>
    <w:rsid w:val="002E4137"/>
    <w:rsid w:val="003072A4"/>
    <w:rsid w:val="00314DB1"/>
    <w:rsid w:val="003718AC"/>
    <w:rsid w:val="00376E63"/>
    <w:rsid w:val="003A14EB"/>
    <w:rsid w:val="003A1728"/>
    <w:rsid w:val="003A3D8B"/>
    <w:rsid w:val="003B56E4"/>
    <w:rsid w:val="003D6261"/>
    <w:rsid w:val="003E1A18"/>
    <w:rsid w:val="003E1C5E"/>
    <w:rsid w:val="00422D1A"/>
    <w:rsid w:val="00424CF0"/>
    <w:rsid w:val="004765F8"/>
    <w:rsid w:val="00495F74"/>
    <w:rsid w:val="00497883"/>
    <w:rsid w:val="004B250F"/>
    <w:rsid w:val="004B42F6"/>
    <w:rsid w:val="004D48C4"/>
    <w:rsid w:val="004E2A35"/>
    <w:rsid w:val="00510C3F"/>
    <w:rsid w:val="00554A93"/>
    <w:rsid w:val="00571C48"/>
    <w:rsid w:val="005732AE"/>
    <w:rsid w:val="00576CC5"/>
    <w:rsid w:val="00586849"/>
    <w:rsid w:val="005B5279"/>
    <w:rsid w:val="00611CA6"/>
    <w:rsid w:val="00632002"/>
    <w:rsid w:val="006754FE"/>
    <w:rsid w:val="00683CB9"/>
    <w:rsid w:val="006A4DBE"/>
    <w:rsid w:val="006C746F"/>
    <w:rsid w:val="006D5FC7"/>
    <w:rsid w:val="006F7A42"/>
    <w:rsid w:val="00700BD2"/>
    <w:rsid w:val="0070733C"/>
    <w:rsid w:val="007313CE"/>
    <w:rsid w:val="00734736"/>
    <w:rsid w:val="007561FB"/>
    <w:rsid w:val="00761CD2"/>
    <w:rsid w:val="00765F4C"/>
    <w:rsid w:val="007830D3"/>
    <w:rsid w:val="00790362"/>
    <w:rsid w:val="007C55FB"/>
    <w:rsid w:val="0081571D"/>
    <w:rsid w:val="008168E2"/>
    <w:rsid w:val="00833F72"/>
    <w:rsid w:val="008447E0"/>
    <w:rsid w:val="00850599"/>
    <w:rsid w:val="00894E01"/>
    <w:rsid w:val="008E2E41"/>
    <w:rsid w:val="00921912"/>
    <w:rsid w:val="00935799"/>
    <w:rsid w:val="009548E4"/>
    <w:rsid w:val="009624CA"/>
    <w:rsid w:val="00966E02"/>
    <w:rsid w:val="0099473D"/>
    <w:rsid w:val="009C6BF2"/>
    <w:rsid w:val="009D0941"/>
    <w:rsid w:val="009D2248"/>
    <w:rsid w:val="009D6675"/>
    <w:rsid w:val="009E63B9"/>
    <w:rsid w:val="009F49AA"/>
    <w:rsid w:val="00A12D2A"/>
    <w:rsid w:val="00A134A3"/>
    <w:rsid w:val="00A53545"/>
    <w:rsid w:val="00A619CA"/>
    <w:rsid w:val="00A62DB4"/>
    <w:rsid w:val="00A778A4"/>
    <w:rsid w:val="00A934D1"/>
    <w:rsid w:val="00AA6582"/>
    <w:rsid w:val="00AC3AF0"/>
    <w:rsid w:val="00AD078F"/>
    <w:rsid w:val="00AD24E1"/>
    <w:rsid w:val="00AD46D6"/>
    <w:rsid w:val="00AD6357"/>
    <w:rsid w:val="00B13FEE"/>
    <w:rsid w:val="00B52A0E"/>
    <w:rsid w:val="00B55E17"/>
    <w:rsid w:val="00B67022"/>
    <w:rsid w:val="00B81E6C"/>
    <w:rsid w:val="00B97190"/>
    <w:rsid w:val="00BA54F1"/>
    <w:rsid w:val="00BB074E"/>
    <w:rsid w:val="00BC5493"/>
    <w:rsid w:val="00C013C6"/>
    <w:rsid w:val="00C0650B"/>
    <w:rsid w:val="00C23C0B"/>
    <w:rsid w:val="00C24DE0"/>
    <w:rsid w:val="00C4215C"/>
    <w:rsid w:val="00C52430"/>
    <w:rsid w:val="00C750B8"/>
    <w:rsid w:val="00CA29DC"/>
    <w:rsid w:val="00CA3889"/>
    <w:rsid w:val="00CB0B65"/>
    <w:rsid w:val="00CB7491"/>
    <w:rsid w:val="00CB7C3C"/>
    <w:rsid w:val="00D07F82"/>
    <w:rsid w:val="00D1547C"/>
    <w:rsid w:val="00D336FD"/>
    <w:rsid w:val="00D955A3"/>
    <w:rsid w:val="00DA6E30"/>
    <w:rsid w:val="00DC4A57"/>
    <w:rsid w:val="00DD69B8"/>
    <w:rsid w:val="00DE2B15"/>
    <w:rsid w:val="00DE50BB"/>
    <w:rsid w:val="00DE78AF"/>
    <w:rsid w:val="00E2546E"/>
    <w:rsid w:val="00E92047"/>
    <w:rsid w:val="00E95492"/>
    <w:rsid w:val="00EB2722"/>
    <w:rsid w:val="00EC60C8"/>
    <w:rsid w:val="00ED4B3B"/>
    <w:rsid w:val="00EE6024"/>
    <w:rsid w:val="00F7037B"/>
    <w:rsid w:val="00F97578"/>
    <w:rsid w:val="00FF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Default">
    <w:name w:val="Default"/>
    <w:basedOn w:val="Normln"/>
    <w:rsid w:val="00F7037B"/>
    <w:pPr>
      <w:widowControl w:val="0"/>
      <w:suppressAutoHyphens/>
      <w:autoSpaceDE w:val="0"/>
    </w:pPr>
    <w:rPr>
      <w:rFonts w:eastAsia="Times New Roman"/>
      <w:color w:val="000000"/>
      <w:kern w:val="2"/>
      <w:lang w:eastAsia="hi-IN" w:bidi="hi-IN"/>
    </w:rPr>
  </w:style>
  <w:style w:type="character" w:styleId="Hypertextovodkaz">
    <w:name w:val="Hyperlink"/>
    <w:uiPriority w:val="99"/>
    <w:unhideWhenUsed/>
    <w:rsid w:val="009219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55E17"/>
    <w:pPr>
      <w:ind w:left="708"/>
    </w:pPr>
  </w:style>
  <w:style w:type="table" w:styleId="Mkatabulky">
    <w:name w:val="Table Grid"/>
    <w:basedOn w:val="Normlntabulka"/>
    <w:uiPriority w:val="59"/>
    <w:rsid w:val="005868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2654F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0265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5%BDivo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Investi%C4%8Dn%C3%AD_%C5%BEivotn%C3%AD_poji%C5%A1t%C4%9Bn%C3%A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://cs.wikipedia.org/wiki/%C5%BDivotn%C3%AD_poji%C5%A1t%C4%9Bn%C3%AD#Druhy_.C5.BEivotn.C3.ADch_poji.C5.A1t.C4.9Bn.C3.AD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pojistovnacs.cz/zivotni-pojisteni/slovnice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%C4%9Bk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954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Ceny</vt:lpstr>
    </vt:vector>
  </TitlesOfParts>
  <Company/>
  <LinksUpToDate>false</LinksUpToDate>
  <CharactersWithSpaces>6574</CharactersWithSpaces>
  <SharedDoc>false</SharedDoc>
  <HLinks>
    <vt:vector size="30" baseType="variant">
      <vt:variant>
        <vt:i4>6029358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http://cs.wikipedia.org/wiki/%C5%BDivotn%C3%AD_poji%C5%A1t%C4%9Bn%C3%AD</vt:lpwstr>
      </vt:variant>
      <vt:variant>
        <vt:lpwstr>Druhy_.C5.BEivotn.C3.ADch_poji.C5.A1t.C4.9Bn.C3.AD</vt:lpwstr>
      </vt:variant>
      <vt:variant>
        <vt:i4>7995498</vt:i4>
      </vt:variant>
      <vt:variant>
        <vt:i4>9</vt:i4>
      </vt:variant>
      <vt:variant>
        <vt:i4>0</vt:i4>
      </vt:variant>
      <vt:variant>
        <vt:i4>5</vt:i4>
      </vt:variant>
      <vt:variant>
        <vt:lpwstr>http://www.pojistovnacs.cz/zivotni-pojisteni/slovnicek/</vt:lpwstr>
      </vt:variant>
      <vt:variant>
        <vt:lpwstr/>
      </vt:variant>
      <vt:variant>
        <vt:i4>4915200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http://cs.wikipedia.org/wiki/V%C4%9Bk</vt:lpwstr>
      </vt:variant>
      <vt:variant>
        <vt:lpwstr/>
      </vt:variant>
      <vt:variant>
        <vt:i4>7143548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http://cs.wikipedia.org/wiki/%C5%BDivot</vt:lpwstr>
      </vt:variant>
      <vt:variant>
        <vt:lpwstr/>
      </vt:variant>
      <vt:variant>
        <vt:i4>655430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http://cs.wikipedia.org/wiki/Investi%C4%8Dn%C3%AD_%C5%BEivotn%C3%AD_poji%C5%A1t%C4%9Bn%C3%AD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Ceny</dc:title>
  <dc:subject/>
  <dc:creator>Marek Tůma</dc:creator>
  <cp:keywords/>
  <dc:description/>
  <cp:lastModifiedBy>Dum</cp:lastModifiedBy>
  <cp:revision>2</cp:revision>
  <dcterms:created xsi:type="dcterms:W3CDTF">2014-05-10T10:33:00Z</dcterms:created>
  <dcterms:modified xsi:type="dcterms:W3CDTF">2014-05-10T10:33:00Z</dcterms:modified>
</cp:coreProperties>
</file>