
<file path=[Content_Types].xml><?xml version="1.0" encoding="utf-8"?>
<Types xmlns="http://schemas.openxmlformats.org/package/2006/content-types">
  <Override PartName="/word/footnotes.xml" ContentType="application/vnd.openxmlformats-officedocument.wordprocessingml.footnot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075" w:type="dxa"/>
        <w:jc w:val="center"/>
        <w:tblCellMar>
          <w:left w:w="0" w:type="dxa"/>
          <w:right w:w="0" w:type="dxa"/>
        </w:tblCellMar>
        <w:tblLook w:val="04A0"/>
      </w:tblPr>
      <w:tblGrid>
        <w:gridCol w:w="2696"/>
        <w:gridCol w:w="6379"/>
      </w:tblGrid>
      <w:tr w:rsidR="00623C9C" w:rsidRPr="008936DA" w:rsidTr="00EF2DAF">
        <w:trPr>
          <w:trHeight w:val="564"/>
          <w:jc w:val="center"/>
        </w:trPr>
        <w:tc>
          <w:tcPr>
            <w:tcW w:w="2696" w:type="dxa"/>
            <w:tcBorders>
              <w:top w:val="single" w:sz="18" w:space="0" w:color="000000"/>
              <w:left w:val="single" w:sz="18" w:space="0" w:color="000000"/>
              <w:bottom w:val="single" w:sz="4" w:space="0" w:color="000000"/>
              <w:right w:val="single" w:sz="8" w:space="0" w:color="000000"/>
            </w:tcBorders>
            <w:tcMar>
              <w:top w:w="72" w:type="dxa"/>
              <w:left w:w="144" w:type="dxa"/>
              <w:bottom w:w="72" w:type="dxa"/>
              <w:right w:w="144" w:type="dxa"/>
            </w:tcMar>
            <w:vAlign w:val="center"/>
            <w:hideMark/>
          </w:tcPr>
          <w:p w:rsidR="00623C9C" w:rsidRPr="008936DA" w:rsidRDefault="00623C9C" w:rsidP="00EF2DAF">
            <w:pPr>
              <w:spacing w:before="67"/>
              <w:textAlignment w:val="baseline"/>
              <w:rPr>
                <w:rFonts w:ascii="Arial" w:hAnsi="Arial" w:cs="Arial"/>
                <w:color w:val="000000"/>
                <w:kern w:val="24"/>
                <w:sz w:val="28"/>
                <w:szCs w:val="28"/>
              </w:rPr>
            </w:pPr>
            <w:r w:rsidRPr="008936DA">
              <w:rPr>
                <w:rFonts w:ascii="Arial" w:hAnsi="Arial" w:cs="Arial"/>
                <w:color w:val="000000"/>
                <w:kern w:val="24"/>
                <w:sz w:val="28"/>
                <w:szCs w:val="28"/>
              </w:rPr>
              <w:t>Název školy</w:t>
            </w:r>
          </w:p>
        </w:tc>
        <w:tc>
          <w:tcPr>
            <w:tcW w:w="6379" w:type="dxa"/>
            <w:tcBorders>
              <w:top w:val="single" w:sz="18" w:space="0" w:color="000000"/>
              <w:left w:val="single" w:sz="8" w:space="0" w:color="000000"/>
              <w:bottom w:val="single" w:sz="4" w:space="0" w:color="000000"/>
              <w:right w:val="single" w:sz="18" w:space="0" w:color="000000"/>
            </w:tcBorders>
            <w:tcMar>
              <w:top w:w="72" w:type="dxa"/>
              <w:left w:w="144" w:type="dxa"/>
              <w:bottom w:w="72" w:type="dxa"/>
              <w:right w:w="144" w:type="dxa"/>
            </w:tcMar>
            <w:hideMark/>
          </w:tcPr>
          <w:p w:rsidR="00623C9C" w:rsidRPr="008936DA" w:rsidRDefault="00623C9C" w:rsidP="00EF2DAF">
            <w:pPr>
              <w:spacing w:before="67"/>
              <w:textAlignment w:val="baseline"/>
              <w:rPr>
                <w:rFonts w:ascii="Arial" w:hAnsi="Arial" w:cs="Arial"/>
                <w:color w:val="000000"/>
                <w:kern w:val="24"/>
                <w:sz w:val="28"/>
                <w:szCs w:val="28"/>
              </w:rPr>
            </w:pPr>
            <w:r>
              <w:rPr>
                <w:rFonts w:ascii="Arial" w:hAnsi="Arial" w:cs="Arial"/>
                <w:color w:val="000000"/>
                <w:kern w:val="24"/>
                <w:sz w:val="28"/>
                <w:szCs w:val="28"/>
              </w:rPr>
              <w:t>Gymnázium, střední odborná škola, střední odborné učiliště a vyšší odborná škola, Hořice</w:t>
            </w:r>
          </w:p>
        </w:tc>
      </w:tr>
      <w:tr w:rsidR="00623C9C" w:rsidRPr="008936DA" w:rsidTr="00EF2DAF">
        <w:trPr>
          <w:trHeight w:val="567"/>
          <w:jc w:val="center"/>
        </w:trPr>
        <w:tc>
          <w:tcPr>
            <w:tcW w:w="2696" w:type="dxa"/>
            <w:tcBorders>
              <w:top w:val="single" w:sz="4" w:space="0" w:color="000000"/>
              <w:left w:val="single" w:sz="18" w:space="0" w:color="000000"/>
              <w:bottom w:val="single" w:sz="8" w:space="0" w:color="000000"/>
              <w:right w:val="single" w:sz="8" w:space="0" w:color="000000"/>
            </w:tcBorders>
            <w:tcMar>
              <w:top w:w="72" w:type="dxa"/>
              <w:left w:w="144" w:type="dxa"/>
              <w:bottom w:w="72" w:type="dxa"/>
              <w:right w:w="144" w:type="dxa"/>
            </w:tcMar>
            <w:vAlign w:val="center"/>
            <w:hideMark/>
          </w:tcPr>
          <w:p w:rsidR="00623C9C" w:rsidRPr="008936DA" w:rsidRDefault="00623C9C" w:rsidP="00EF2DAF">
            <w:pPr>
              <w:spacing w:before="67"/>
              <w:textAlignment w:val="baseline"/>
            </w:pPr>
            <w:r w:rsidRPr="008936DA">
              <w:rPr>
                <w:rFonts w:ascii="Arial" w:hAnsi="Arial" w:cs="Arial"/>
                <w:color w:val="000000"/>
                <w:kern w:val="24"/>
                <w:sz w:val="28"/>
                <w:szCs w:val="28"/>
              </w:rPr>
              <w:t>Číslo projektu</w:t>
            </w:r>
          </w:p>
        </w:tc>
        <w:tc>
          <w:tcPr>
            <w:tcW w:w="6379" w:type="dxa"/>
            <w:tcBorders>
              <w:top w:val="single" w:sz="4" w:space="0" w:color="000000"/>
              <w:left w:val="single" w:sz="8" w:space="0" w:color="000000"/>
              <w:bottom w:val="single" w:sz="8" w:space="0" w:color="000000"/>
              <w:right w:val="single" w:sz="18" w:space="0" w:color="000000"/>
            </w:tcBorders>
            <w:tcMar>
              <w:top w:w="72" w:type="dxa"/>
              <w:left w:w="144" w:type="dxa"/>
              <w:bottom w:w="72" w:type="dxa"/>
              <w:right w:w="144" w:type="dxa"/>
            </w:tcMar>
            <w:vAlign w:val="center"/>
            <w:hideMark/>
          </w:tcPr>
          <w:p w:rsidR="00623C9C" w:rsidRPr="00F63BAD" w:rsidRDefault="00623C9C" w:rsidP="00EF2DAF">
            <w:pPr>
              <w:spacing w:before="67"/>
              <w:textAlignment w:val="baseline"/>
              <w:rPr>
                <w:sz w:val="28"/>
                <w:szCs w:val="28"/>
              </w:rPr>
            </w:pPr>
            <w:r>
              <w:rPr>
                <w:sz w:val="28"/>
                <w:szCs w:val="28"/>
              </w:rPr>
              <w:t>CZ.1.07/1.5.00/34.0873</w:t>
            </w:r>
          </w:p>
        </w:tc>
      </w:tr>
      <w:tr w:rsidR="00623C9C" w:rsidRPr="008936DA" w:rsidTr="00EF2DAF">
        <w:trPr>
          <w:trHeight w:val="567"/>
          <w:jc w:val="center"/>
        </w:trPr>
        <w:tc>
          <w:tcPr>
            <w:tcW w:w="2696" w:type="dxa"/>
            <w:tcBorders>
              <w:top w:val="single" w:sz="8" w:space="0" w:color="000000"/>
              <w:left w:val="single" w:sz="18" w:space="0" w:color="000000"/>
              <w:bottom w:val="single" w:sz="8" w:space="0" w:color="000000"/>
              <w:right w:val="single" w:sz="8" w:space="0" w:color="000000"/>
            </w:tcBorders>
            <w:tcMar>
              <w:top w:w="72" w:type="dxa"/>
              <w:left w:w="144" w:type="dxa"/>
              <w:bottom w:w="72" w:type="dxa"/>
              <w:right w:w="144" w:type="dxa"/>
            </w:tcMar>
            <w:vAlign w:val="center"/>
            <w:hideMark/>
          </w:tcPr>
          <w:p w:rsidR="00623C9C" w:rsidRPr="008936DA" w:rsidRDefault="00623C9C" w:rsidP="00EF2DAF">
            <w:pPr>
              <w:spacing w:before="67"/>
              <w:textAlignment w:val="baseline"/>
              <w:rPr>
                <w:rFonts w:ascii="Arial" w:hAnsi="Arial" w:cs="Arial"/>
                <w:color w:val="000000"/>
                <w:kern w:val="24"/>
                <w:sz w:val="28"/>
                <w:szCs w:val="28"/>
              </w:rPr>
            </w:pPr>
            <w:r>
              <w:rPr>
                <w:rFonts w:ascii="Arial" w:hAnsi="Arial" w:cs="Arial"/>
                <w:color w:val="000000"/>
                <w:kern w:val="24"/>
                <w:sz w:val="28"/>
                <w:szCs w:val="28"/>
              </w:rPr>
              <w:t>Název materiálu</w:t>
            </w:r>
          </w:p>
        </w:tc>
        <w:tc>
          <w:tcPr>
            <w:tcW w:w="6379" w:type="dxa"/>
            <w:tcBorders>
              <w:top w:val="single" w:sz="8" w:space="0" w:color="000000"/>
              <w:left w:val="single" w:sz="8" w:space="0" w:color="000000"/>
              <w:bottom w:val="single" w:sz="8" w:space="0" w:color="000000"/>
              <w:right w:val="single" w:sz="18" w:space="0" w:color="000000"/>
            </w:tcBorders>
            <w:tcMar>
              <w:top w:w="72" w:type="dxa"/>
              <w:left w:w="144" w:type="dxa"/>
              <w:bottom w:w="72" w:type="dxa"/>
              <w:right w:w="144" w:type="dxa"/>
            </w:tcMar>
            <w:vAlign w:val="center"/>
            <w:hideMark/>
          </w:tcPr>
          <w:p w:rsidR="00623C9C" w:rsidRPr="008936DA" w:rsidRDefault="00623C9C" w:rsidP="002862CB">
            <w:pPr>
              <w:spacing w:before="67"/>
              <w:textAlignment w:val="baseline"/>
            </w:pPr>
            <w:r>
              <w:t>Azylová péče II.</w:t>
            </w:r>
            <w:r w:rsidRPr="00C946D4">
              <w:t xml:space="preserve"> – VY_32_INOVACE_02.01.</w:t>
            </w:r>
            <w:r>
              <w:t>12</w:t>
            </w:r>
          </w:p>
        </w:tc>
      </w:tr>
      <w:tr w:rsidR="00623C9C" w:rsidRPr="008936DA" w:rsidTr="00EF2DAF">
        <w:trPr>
          <w:trHeight w:val="567"/>
          <w:jc w:val="center"/>
        </w:trPr>
        <w:tc>
          <w:tcPr>
            <w:tcW w:w="2696" w:type="dxa"/>
            <w:tcBorders>
              <w:top w:val="single" w:sz="8" w:space="0" w:color="000000"/>
              <w:left w:val="single" w:sz="18" w:space="0" w:color="000000"/>
              <w:bottom w:val="single" w:sz="8" w:space="0" w:color="000000"/>
              <w:right w:val="single" w:sz="8" w:space="0" w:color="000000"/>
            </w:tcBorders>
            <w:tcMar>
              <w:top w:w="72" w:type="dxa"/>
              <w:left w:w="144" w:type="dxa"/>
              <w:bottom w:w="72" w:type="dxa"/>
              <w:right w:w="144" w:type="dxa"/>
            </w:tcMar>
            <w:vAlign w:val="center"/>
            <w:hideMark/>
          </w:tcPr>
          <w:p w:rsidR="00623C9C" w:rsidRPr="008936DA" w:rsidRDefault="00623C9C" w:rsidP="00EF2DAF">
            <w:pPr>
              <w:spacing w:before="67"/>
              <w:textAlignment w:val="baseline"/>
            </w:pPr>
            <w:r w:rsidRPr="008936DA">
              <w:rPr>
                <w:rFonts w:ascii="Arial" w:hAnsi="Arial" w:cs="Arial"/>
                <w:color w:val="000000"/>
                <w:kern w:val="24"/>
                <w:sz w:val="28"/>
                <w:szCs w:val="28"/>
              </w:rPr>
              <w:t>Autor</w:t>
            </w:r>
          </w:p>
        </w:tc>
        <w:tc>
          <w:tcPr>
            <w:tcW w:w="6379" w:type="dxa"/>
            <w:tcBorders>
              <w:top w:val="single" w:sz="8" w:space="0" w:color="000000"/>
              <w:left w:val="single" w:sz="8" w:space="0" w:color="000000"/>
              <w:bottom w:val="single" w:sz="8" w:space="0" w:color="000000"/>
              <w:right w:val="single" w:sz="18" w:space="0" w:color="000000"/>
            </w:tcBorders>
            <w:tcMar>
              <w:top w:w="72" w:type="dxa"/>
              <w:left w:w="144" w:type="dxa"/>
              <w:bottom w:w="72" w:type="dxa"/>
              <w:right w:w="144" w:type="dxa"/>
            </w:tcMar>
            <w:vAlign w:val="center"/>
            <w:hideMark/>
          </w:tcPr>
          <w:p w:rsidR="00623C9C" w:rsidRPr="008936DA" w:rsidRDefault="00623C9C" w:rsidP="00EF2DAF">
            <w:pPr>
              <w:spacing w:before="67"/>
              <w:textAlignment w:val="baseline"/>
            </w:pPr>
            <w:r w:rsidRPr="00C946D4">
              <w:t xml:space="preserve">Mgr. Jaroslava Hypiusová </w:t>
            </w:r>
          </w:p>
        </w:tc>
      </w:tr>
      <w:tr w:rsidR="00623C9C" w:rsidRPr="008936DA" w:rsidTr="00EF2DAF">
        <w:trPr>
          <w:trHeight w:val="567"/>
          <w:jc w:val="center"/>
        </w:trPr>
        <w:tc>
          <w:tcPr>
            <w:tcW w:w="2696" w:type="dxa"/>
            <w:tcBorders>
              <w:top w:val="single" w:sz="8" w:space="0" w:color="000000"/>
              <w:left w:val="single" w:sz="18" w:space="0" w:color="000000"/>
              <w:bottom w:val="single" w:sz="8" w:space="0" w:color="000000"/>
              <w:right w:val="single" w:sz="8" w:space="0" w:color="000000"/>
            </w:tcBorders>
            <w:tcMar>
              <w:top w:w="72" w:type="dxa"/>
              <w:left w:w="144" w:type="dxa"/>
              <w:bottom w:w="72" w:type="dxa"/>
              <w:right w:w="144" w:type="dxa"/>
            </w:tcMar>
            <w:vAlign w:val="center"/>
            <w:hideMark/>
          </w:tcPr>
          <w:p w:rsidR="00623C9C" w:rsidRPr="008936DA" w:rsidRDefault="00623C9C" w:rsidP="00EF2DAF">
            <w:pPr>
              <w:spacing w:before="67"/>
              <w:textAlignment w:val="baseline"/>
            </w:pPr>
            <w:r>
              <w:rPr>
                <w:rFonts w:ascii="Arial" w:hAnsi="Arial" w:cs="Arial"/>
                <w:color w:val="000000"/>
                <w:kern w:val="24"/>
                <w:sz w:val="28"/>
                <w:szCs w:val="28"/>
              </w:rPr>
              <w:t>Te</w:t>
            </w:r>
            <w:r w:rsidRPr="008936DA">
              <w:rPr>
                <w:rFonts w:ascii="Arial" w:hAnsi="Arial" w:cs="Arial"/>
                <w:color w:val="000000"/>
                <w:kern w:val="24"/>
                <w:sz w:val="28"/>
                <w:szCs w:val="28"/>
              </w:rPr>
              <w:t>matick</w:t>
            </w:r>
            <w:r>
              <w:rPr>
                <w:rFonts w:ascii="Arial" w:hAnsi="Arial" w:cs="Arial"/>
                <w:color w:val="000000"/>
                <w:kern w:val="24"/>
                <w:sz w:val="28"/>
                <w:szCs w:val="28"/>
              </w:rPr>
              <w:t>á oblast</w:t>
            </w:r>
          </w:p>
        </w:tc>
        <w:tc>
          <w:tcPr>
            <w:tcW w:w="6379" w:type="dxa"/>
            <w:tcBorders>
              <w:top w:val="single" w:sz="8" w:space="0" w:color="000000"/>
              <w:left w:val="single" w:sz="8" w:space="0" w:color="000000"/>
              <w:bottom w:val="single" w:sz="8" w:space="0" w:color="000000"/>
              <w:right w:val="single" w:sz="18" w:space="0" w:color="000000"/>
            </w:tcBorders>
            <w:tcMar>
              <w:top w:w="72" w:type="dxa"/>
              <w:left w:w="144" w:type="dxa"/>
              <w:bottom w:w="72" w:type="dxa"/>
              <w:right w:w="144" w:type="dxa"/>
            </w:tcMar>
            <w:vAlign w:val="center"/>
            <w:hideMark/>
          </w:tcPr>
          <w:p w:rsidR="00623C9C" w:rsidRPr="008936DA" w:rsidRDefault="002C7116" w:rsidP="00EF2DAF">
            <w:pPr>
              <w:spacing w:before="67"/>
              <w:textAlignment w:val="baseline"/>
            </w:pPr>
            <w:r w:rsidRPr="002C7116">
              <w:t xml:space="preserve">Sociální péče pro 4. ročník SOŠ </w:t>
            </w:r>
          </w:p>
        </w:tc>
      </w:tr>
      <w:tr w:rsidR="00623C9C" w:rsidRPr="008936DA" w:rsidTr="00EF2DAF">
        <w:trPr>
          <w:trHeight w:val="567"/>
          <w:jc w:val="center"/>
        </w:trPr>
        <w:tc>
          <w:tcPr>
            <w:tcW w:w="2696" w:type="dxa"/>
            <w:tcBorders>
              <w:top w:val="single" w:sz="8" w:space="0" w:color="000000"/>
              <w:left w:val="single" w:sz="18" w:space="0" w:color="000000"/>
              <w:bottom w:val="single" w:sz="8" w:space="0" w:color="000000"/>
              <w:right w:val="single" w:sz="8" w:space="0" w:color="000000"/>
            </w:tcBorders>
            <w:tcMar>
              <w:top w:w="72" w:type="dxa"/>
              <w:left w:w="144" w:type="dxa"/>
              <w:bottom w:w="72" w:type="dxa"/>
              <w:right w:w="144" w:type="dxa"/>
            </w:tcMar>
            <w:vAlign w:val="center"/>
            <w:hideMark/>
          </w:tcPr>
          <w:p w:rsidR="00623C9C" w:rsidRPr="008936DA" w:rsidRDefault="00623C9C" w:rsidP="00EF2DAF">
            <w:pPr>
              <w:spacing w:before="67"/>
              <w:textAlignment w:val="baseline"/>
            </w:pPr>
            <w:r w:rsidRPr="008936DA">
              <w:rPr>
                <w:rFonts w:ascii="Arial" w:hAnsi="Arial" w:cs="Arial"/>
                <w:color w:val="000000"/>
                <w:kern w:val="24"/>
                <w:sz w:val="28"/>
                <w:szCs w:val="28"/>
              </w:rPr>
              <w:t>Ročník</w:t>
            </w:r>
          </w:p>
        </w:tc>
        <w:tc>
          <w:tcPr>
            <w:tcW w:w="6379" w:type="dxa"/>
            <w:tcBorders>
              <w:top w:val="single" w:sz="8" w:space="0" w:color="000000"/>
              <w:left w:val="single" w:sz="8" w:space="0" w:color="000000"/>
              <w:bottom w:val="single" w:sz="8" w:space="0" w:color="000000"/>
              <w:right w:val="single" w:sz="18" w:space="0" w:color="000000"/>
            </w:tcBorders>
            <w:tcMar>
              <w:top w:w="72" w:type="dxa"/>
              <w:left w:w="144" w:type="dxa"/>
              <w:bottom w:w="72" w:type="dxa"/>
              <w:right w:w="144" w:type="dxa"/>
            </w:tcMar>
            <w:vAlign w:val="center"/>
            <w:hideMark/>
          </w:tcPr>
          <w:p w:rsidR="00623C9C" w:rsidRPr="008936DA" w:rsidRDefault="00623C9C" w:rsidP="00EF2DAF">
            <w:pPr>
              <w:spacing w:before="67"/>
              <w:textAlignment w:val="baseline"/>
            </w:pPr>
            <w:r>
              <w:t>4</w:t>
            </w:r>
          </w:p>
        </w:tc>
      </w:tr>
      <w:tr w:rsidR="00623C9C" w:rsidRPr="008936DA" w:rsidTr="00EF2DAF">
        <w:trPr>
          <w:trHeight w:val="567"/>
          <w:jc w:val="center"/>
        </w:trPr>
        <w:tc>
          <w:tcPr>
            <w:tcW w:w="2696" w:type="dxa"/>
            <w:tcBorders>
              <w:top w:val="single" w:sz="8" w:space="0" w:color="000000"/>
              <w:left w:val="single" w:sz="18" w:space="0" w:color="000000"/>
              <w:bottom w:val="single" w:sz="8" w:space="0" w:color="000000"/>
              <w:right w:val="single" w:sz="8" w:space="0" w:color="000000"/>
            </w:tcBorders>
            <w:tcMar>
              <w:top w:w="72" w:type="dxa"/>
              <w:left w:w="144" w:type="dxa"/>
              <w:bottom w:w="72" w:type="dxa"/>
              <w:right w:w="144" w:type="dxa"/>
            </w:tcMar>
            <w:vAlign w:val="center"/>
            <w:hideMark/>
          </w:tcPr>
          <w:p w:rsidR="00623C9C" w:rsidRPr="008936DA" w:rsidRDefault="00623C9C" w:rsidP="00EF2DAF">
            <w:pPr>
              <w:spacing w:before="67"/>
              <w:textAlignment w:val="baseline"/>
            </w:pPr>
            <w:r w:rsidRPr="008936DA">
              <w:rPr>
                <w:rFonts w:ascii="Arial" w:hAnsi="Arial" w:cs="Arial"/>
                <w:color w:val="000000"/>
                <w:kern w:val="24"/>
                <w:sz w:val="28"/>
                <w:szCs w:val="28"/>
              </w:rPr>
              <w:t>Datum tvorby</w:t>
            </w:r>
          </w:p>
        </w:tc>
        <w:tc>
          <w:tcPr>
            <w:tcW w:w="6379" w:type="dxa"/>
            <w:tcBorders>
              <w:top w:val="single" w:sz="8" w:space="0" w:color="000000"/>
              <w:left w:val="single" w:sz="8" w:space="0" w:color="000000"/>
              <w:bottom w:val="single" w:sz="8" w:space="0" w:color="000000"/>
              <w:right w:val="single" w:sz="18" w:space="0" w:color="000000"/>
            </w:tcBorders>
            <w:tcMar>
              <w:top w:w="72" w:type="dxa"/>
              <w:left w:w="144" w:type="dxa"/>
              <w:bottom w:w="72" w:type="dxa"/>
              <w:right w:w="144" w:type="dxa"/>
            </w:tcMar>
            <w:vAlign w:val="center"/>
            <w:hideMark/>
          </w:tcPr>
          <w:p w:rsidR="00623C9C" w:rsidRPr="008936DA" w:rsidRDefault="00623C9C" w:rsidP="00EF2DAF">
            <w:pPr>
              <w:spacing w:before="67"/>
              <w:textAlignment w:val="baseline"/>
            </w:pPr>
            <w:r w:rsidRPr="00C946D4">
              <w:t>Září – prosinec 2013</w:t>
            </w:r>
          </w:p>
        </w:tc>
      </w:tr>
      <w:tr w:rsidR="00623C9C" w:rsidRPr="008936DA" w:rsidTr="00EF2DAF">
        <w:trPr>
          <w:trHeight w:val="567"/>
          <w:jc w:val="center"/>
        </w:trPr>
        <w:tc>
          <w:tcPr>
            <w:tcW w:w="2696" w:type="dxa"/>
            <w:tcBorders>
              <w:top w:val="single" w:sz="8" w:space="0" w:color="000000"/>
              <w:left w:val="single" w:sz="18" w:space="0" w:color="000000"/>
              <w:bottom w:val="single" w:sz="8" w:space="0" w:color="000000"/>
              <w:right w:val="single" w:sz="8" w:space="0" w:color="000000"/>
            </w:tcBorders>
            <w:tcMar>
              <w:top w:w="72" w:type="dxa"/>
              <w:left w:w="144" w:type="dxa"/>
              <w:bottom w:w="72" w:type="dxa"/>
              <w:right w:w="144" w:type="dxa"/>
            </w:tcMar>
            <w:vAlign w:val="center"/>
            <w:hideMark/>
          </w:tcPr>
          <w:p w:rsidR="00623C9C" w:rsidRPr="008936DA" w:rsidRDefault="00623C9C" w:rsidP="00EF2DAF">
            <w:pPr>
              <w:spacing w:before="67"/>
              <w:textAlignment w:val="baseline"/>
            </w:pPr>
            <w:r w:rsidRPr="008936DA">
              <w:rPr>
                <w:rFonts w:ascii="Arial" w:hAnsi="Arial" w:cs="Arial"/>
                <w:color w:val="000000"/>
                <w:kern w:val="24"/>
                <w:sz w:val="28"/>
                <w:szCs w:val="28"/>
              </w:rPr>
              <w:t>Anotace</w:t>
            </w:r>
          </w:p>
        </w:tc>
        <w:tc>
          <w:tcPr>
            <w:tcW w:w="6379" w:type="dxa"/>
            <w:tcBorders>
              <w:top w:val="single" w:sz="8" w:space="0" w:color="000000"/>
              <w:left w:val="single" w:sz="8" w:space="0" w:color="000000"/>
              <w:bottom w:val="single" w:sz="8" w:space="0" w:color="000000"/>
              <w:right w:val="single" w:sz="18" w:space="0" w:color="000000"/>
            </w:tcBorders>
            <w:tcMar>
              <w:top w:w="72" w:type="dxa"/>
              <w:left w:w="144" w:type="dxa"/>
              <w:bottom w:w="72" w:type="dxa"/>
              <w:right w:w="144" w:type="dxa"/>
            </w:tcMar>
            <w:vAlign w:val="center"/>
            <w:hideMark/>
          </w:tcPr>
          <w:p w:rsidR="00623C9C" w:rsidRPr="008936DA" w:rsidRDefault="00623C9C" w:rsidP="00EF2DAF">
            <w:pPr>
              <w:spacing w:before="67"/>
              <w:textAlignment w:val="baseline"/>
            </w:pPr>
            <w:r w:rsidRPr="00C946D4">
              <w:t xml:space="preserve">Materiál je určen pro  výuku tematického celku  péče o </w:t>
            </w:r>
            <w:r>
              <w:t>imigranty, azylanty v ČR - migrace.</w:t>
            </w:r>
          </w:p>
        </w:tc>
      </w:tr>
      <w:tr w:rsidR="00623C9C" w:rsidRPr="008936DA" w:rsidTr="00EF2DAF">
        <w:trPr>
          <w:trHeight w:val="567"/>
          <w:jc w:val="center"/>
        </w:trPr>
        <w:tc>
          <w:tcPr>
            <w:tcW w:w="2696" w:type="dxa"/>
            <w:tcBorders>
              <w:top w:val="single" w:sz="8" w:space="0" w:color="000000"/>
              <w:left w:val="single" w:sz="18" w:space="0" w:color="000000"/>
              <w:bottom w:val="single" w:sz="18" w:space="0" w:color="000000"/>
              <w:right w:val="single" w:sz="8" w:space="0" w:color="000000"/>
            </w:tcBorders>
            <w:tcMar>
              <w:top w:w="72" w:type="dxa"/>
              <w:left w:w="144" w:type="dxa"/>
              <w:bottom w:w="72" w:type="dxa"/>
              <w:right w:w="144" w:type="dxa"/>
            </w:tcMar>
            <w:vAlign w:val="center"/>
            <w:hideMark/>
          </w:tcPr>
          <w:p w:rsidR="00623C9C" w:rsidRPr="008936DA" w:rsidRDefault="00623C9C" w:rsidP="00EF2DAF">
            <w:pPr>
              <w:spacing w:before="67"/>
              <w:textAlignment w:val="baseline"/>
            </w:pPr>
            <w:r w:rsidRPr="008936DA">
              <w:rPr>
                <w:rFonts w:ascii="Arial" w:hAnsi="Arial" w:cs="Arial"/>
                <w:color w:val="000000"/>
                <w:kern w:val="24"/>
                <w:sz w:val="28"/>
                <w:szCs w:val="28"/>
              </w:rPr>
              <w:t>Metodický pokyn</w:t>
            </w:r>
          </w:p>
        </w:tc>
        <w:tc>
          <w:tcPr>
            <w:tcW w:w="6379" w:type="dxa"/>
            <w:tcBorders>
              <w:top w:val="single" w:sz="8" w:space="0" w:color="000000"/>
              <w:left w:val="single" w:sz="8" w:space="0" w:color="000000"/>
              <w:bottom w:val="single" w:sz="18" w:space="0" w:color="000000"/>
              <w:right w:val="single" w:sz="18" w:space="0" w:color="000000"/>
            </w:tcBorders>
            <w:tcMar>
              <w:top w:w="72" w:type="dxa"/>
              <w:left w:w="144" w:type="dxa"/>
              <w:bottom w:w="72" w:type="dxa"/>
              <w:right w:w="144" w:type="dxa"/>
            </w:tcMar>
            <w:vAlign w:val="center"/>
            <w:hideMark/>
          </w:tcPr>
          <w:p w:rsidR="00623C9C" w:rsidRPr="008936DA" w:rsidRDefault="00623C9C" w:rsidP="00EF2DAF">
            <w:pPr>
              <w:adjustRightInd w:val="0"/>
              <w:spacing w:before="100" w:beforeAutospacing="1"/>
            </w:pPr>
            <w:r w:rsidRPr="00C946D4">
              <w:t xml:space="preserve">Materiál obsahuje teoretickou část.  </w:t>
            </w:r>
          </w:p>
        </w:tc>
      </w:tr>
    </w:tbl>
    <w:p w:rsidR="00623C9C" w:rsidRPr="00623C9C" w:rsidRDefault="00623C9C" w:rsidP="00623C9C">
      <w:pPr>
        <w:pStyle w:val="Nadpis1"/>
        <w:rPr>
          <w:rFonts w:ascii="Times New Roman" w:hAnsi="Times New Roman" w:cs="Times New Roman"/>
          <w:color w:val="auto"/>
          <w:sz w:val="44"/>
          <w:szCs w:val="44"/>
          <w:u w:val="single"/>
        </w:rPr>
      </w:pPr>
      <w:r>
        <w:rPr>
          <w:b w:val="0"/>
          <w:sz w:val="44"/>
          <w:szCs w:val="44"/>
          <w:u w:val="single"/>
        </w:rPr>
        <w:br w:type="page"/>
      </w:r>
      <w:r w:rsidRPr="00623C9C">
        <w:rPr>
          <w:rFonts w:ascii="Times New Roman" w:hAnsi="Times New Roman" w:cs="Times New Roman"/>
          <w:color w:val="auto"/>
          <w:sz w:val="44"/>
          <w:szCs w:val="44"/>
          <w:u w:val="single"/>
        </w:rPr>
        <w:lastRenderedPageBreak/>
        <w:t>Anotace:</w:t>
      </w:r>
    </w:p>
    <w:p w:rsidR="00623C9C" w:rsidRPr="000271C5" w:rsidRDefault="00623C9C" w:rsidP="00623C9C">
      <w:pPr>
        <w:rPr>
          <w:sz w:val="44"/>
          <w:szCs w:val="44"/>
        </w:rPr>
      </w:pPr>
      <w:r w:rsidRPr="00C946D4">
        <w:rPr>
          <w:sz w:val="44"/>
          <w:szCs w:val="44"/>
        </w:rPr>
        <w:t xml:space="preserve">Tato část </w:t>
      </w:r>
      <w:r>
        <w:rPr>
          <w:sz w:val="44"/>
          <w:szCs w:val="44"/>
        </w:rPr>
        <w:t>vymezuje nejvýznamnější imigrační proudy v ČR, podrobněji se zabývá vnitřní migrací.</w:t>
      </w:r>
    </w:p>
    <w:p w:rsidR="00623C9C" w:rsidRPr="000271C5" w:rsidRDefault="00623C9C" w:rsidP="00623C9C">
      <w:pPr>
        <w:spacing w:after="200" w:line="276" w:lineRule="auto"/>
        <w:rPr>
          <w:bCs/>
          <w:sz w:val="44"/>
          <w:szCs w:val="44"/>
        </w:rPr>
      </w:pPr>
      <w:r w:rsidRPr="000271C5">
        <w:rPr>
          <w:sz w:val="44"/>
          <w:szCs w:val="44"/>
        </w:rPr>
        <w:br w:type="page"/>
      </w:r>
    </w:p>
    <w:p w:rsidR="00623C9C" w:rsidRPr="006D39C3" w:rsidRDefault="00623C9C" w:rsidP="00623C9C">
      <w:pPr>
        <w:rPr>
          <w:b/>
          <w:sz w:val="44"/>
          <w:szCs w:val="44"/>
          <w:u w:val="single"/>
        </w:rPr>
      </w:pPr>
      <w:r w:rsidRPr="006D39C3">
        <w:rPr>
          <w:b/>
          <w:sz w:val="44"/>
          <w:szCs w:val="44"/>
          <w:u w:val="single"/>
        </w:rPr>
        <w:lastRenderedPageBreak/>
        <w:t xml:space="preserve">Nejvýznamnější imigrační proudy do České republiky </w:t>
      </w:r>
    </w:p>
    <w:p w:rsidR="00623C9C" w:rsidRPr="006D39C3" w:rsidRDefault="00623C9C" w:rsidP="00623C9C">
      <w:pPr>
        <w:pStyle w:val="Zkladntext"/>
        <w:rPr>
          <w:sz w:val="44"/>
          <w:szCs w:val="44"/>
          <w:u w:val="single"/>
        </w:rPr>
      </w:pPr>
    </w:p>
    <w:p w:rsidR="00623C9C" w:rsidRDefault="00623C9C" w:rsidP="00623C9C">
      <w:pPr>
        <w:pStyle w:val="Zkladntext"/>
        <w:rPr>
          <w:sz w:val="44"/>
          <w:szCs w:val="44"/>
        </w:rPr>
      </w:pPr>
      <w:r w:rsidRPr="00136589">
        <w:rPr>
          <w:sz w:val="44"/>
          <w:szCs w:val="44"/>
        </w:rPr>
        <w:t xml:space="preserve">Z regionálního pohledu byl v roce 2001 pro přistěhovalé ze zahraničí </w:t>
      </w:r>
      <w:r w:rsidRPr="00136589">
        <w:rPr>
          <w:b/>
          <w:bCs/>
          <w:sz w:val="44"/>
          <w:szCs w:val="44"/>
        </w:rPr>
        <w:t xml:space="preserve">nejatraktivnější kraj Středočeský (13% všech přistěhovalých), Ústecký (12%), Moravskoslezský a Jihomoravský (oba 11%). </w:t>
      </w:r>
      <w:r w:rsidRPr="00136589">
        <w:rPr>
          <w:sz w:val="44"/>
          <w:szCs w:val="44"/>
        </w:rPr>
        <w:t xml:space="preserve">Vzhledem ke změně metodiky poklesl význam Prahy. </w:t>
      </w:r>
    </w:p>
    <w:p w:rsidR="00623C9C" w:rsidRDefault="00623C9C" w:rsidP="00623C9C">
      <w:pPr>
        <w:pStyle w:val="Zkladntext"/>
        <w:rPr>
          <w:sz w:val="44"/>
          <w:szCs w:val="44"/>
        </w:rPr>
      </w:pPr>
    </w:p>
    <w:p w:rsidR="00623C9C" w:rsidRDefault="00623C9C" w:rsidP="00623C9C">
      <w:pPr>
        <w:pStyle w:val="Zkladntext"/>
        <w:rPr>
          <w:sz w:val="44"/>
          <w:szCs w:val="44"/>
        </w:rPr>
      </w:pPr>
      <w:r w:rsidRPr="00136589">
        <w:rPr>
          <w:sz w:val="44"/>
          <w:szCs w:val="44"/>
        </w:rPr>
        <w:t xml:space="preserve">Atraktivnost jednotlivých krajů je diferencována podle zemí původu, např. přistěhovalí </w:t>
      </w:r>
      <w:r w:rsidRPr="00136589">
        <w:rPr>
          <w:b/>
          <w:bCs/>
          <w:sz w:val="44"/>
          <w:szCs w:val="44"/>
        </w:rPr>
        <w:t>s vietnamským občanstvím směřovali v roce 2001 ve značné části do Karlovarského a Ústeckého kraje</w:t>
      </w:r>
      <w:r w:rsidRPr="00136589">
        <w:rPr>
          <w:sz w:val="44"/>
          <w:szCs w:val="44"/>
        </w:rPr>
        <w:t xml:space="preserve">, což úzce souviselo se silným zastoupením a působností této menšiny v daném regionu. U dalších menšin to nebylo tak zřetelné. Přistěhovalí ze Slovenska či Polska dávali přednost geografické blízkosti v pohraničí. </w:t>
      </w:r>
    </w:p>
    <w:p w:rsidR="00623C9C" w:rsidRPr="00136589" w:rsidRDefault="00623C9C" w:rsidP="00623C9C">
      <w:pPr>
        <w:pStyle w:val="Zkladntext"/>
        <w:rPr>
          <w:sz w:val="44"/>
          <w:szCs w:val="44"/>
        </w:rPr>
      </w:pPr>
      <w:r w:rsidRPr="00136589">
        <w:rPr>
          <w:sz w:val="44"/>
          <w:szCs w:val="44"/>
        </w:rPr>
        <w:lastRenderedPageBreak/>
        <w:t xml:space="preserve">Nově jsou do roku 2001 do statistiky migrace zahrnovány </w:t>
      </w:r>
      <w:r w:rsidRPr="00136589">
        <w:rPr>
          <w:b/>
          <w:bCs/>
          <w:sz w:val="44"/>
          <w:szCs w:val="44"/>
        </w:rPr>
        <w:t>osoby, kterým byl udělen azyl</w:t>
      </w:r>
      <w:r w:rsidRPr="00136589">
        <w:rPr>
          <w:sz w:val="44"/>
          <w:szCs w:val="44"/>
        </w:rPr>
        <w:t xml:space="preserve">, jejich podíl je však velmi nízký, v roce 2001 jich bylo z více než 18 tis. žádostí uděleno pouze </w:t>
      </w:r>
      <w:r w:rsidRPr="00136589">
        <w:rPr>
          <w:b/>
          <w:bCs/>
          <w:sz w:val="44"/>
          <w:szCs w:val="44"/>
        </w:rPr>
        <w:t>83</w:t>
      </w:r>
      <w:r w:rsidRPr="00136589">
        <w:rPr>
          <w:sz w:val="44"/>
          <w:szCs w:val="44"/>
        </w:rPr>
        <w:t>.</w:t>
      </w:r>
    </w:p>
    <w:p w:rsidR="00623C9C" w:rsidRPr="00136589" w:rsidRDefault="00623C9C" w:rsidP="00623C9C">
      <w:pPr>
        <w:jc w:val="both"/>
        <w:rPr>
          <w:sz w:val="44"/>
          <w:szCs w:val="44"/>
        </w:rPr>
      </w:pPr>
    </w:p>
    <w:p w:rsidR="00623C9C" w:rsidRPr="00136589" w:rsidRDefault="00623C9C" w:rsidP="00623C9C">
      <w:pPr>
        <w:jc w:val="both"/>
        <w:rPr>
          <w:sz w:val="44"/>
          <w:szCs w:val="44"/>
        </w:rPr>
      </w:pPr>
      <w:r w:rsidRPr="00136589">
        <w:rPr>
          <w:sz w:val="44"/>
          <w:szCs w:val="44"/>
        </w:rPr>
        <w:t xml:space="preserve">V charakteru migrace stále </w:t>
      </w:r>
      <w:r w:rsidRPr="00136589">
        <w:rPr>
          <w:b/>
          <w:bCs/>
          <w:sz w:val="44"/>
          <w:szCs w:val="44"/>
        </w:rPr>
        <w:t>více převládají dočasné, především pracovní pobyty cizinců</w:t>
      </w:r>
      <w:r w:rsidRPr="00136589">
        <w:rPr>
          <w:sz w:val="44"/>
          <w:szCs w:val="44"/>
        </w:rPr>
        <w:t xml:space="preserve">. Mnozí z migrantů s vízy k pobytu nad 90 dnů si zde dobu pobytu několikrát prodlužují, často zde mají jen přechodné bydliště a délku pobytu nelze ze statistických údajů zjistit. </w:t>
      </w:r>
    </w:p>
    <w:p w:rsidR="00623C9C" w:rsidRDefault="00623C9C" w:rsidP="00623C9C">
      <w:pPr>
        <w:jc w:val="both"/>
        <w:rPr>
          <w:b/>
          <w:sz w:val="44"/>
          <w:szCs w:val="44"/>
        </w:rPr>
      </w:pPr>
    </w:p>
    <w:p w:rsidR="00623C9C" w:rsidRPr="00136589" w:rsidRDefault="00623C9C" w:rsidP="00623C9C">
      <w:pPr>
        <w:jc w:val="both"/>
        <w:rPr>
          <w:b/>
          <w:sz w:val="44"/>
          <w:szCs w:val="44"/>
        </w:rPr>
      </w:pPr>
      <w:r w:rsidRPr="00136589">
        <w:rPr>
          <w:b/>
          <w:sz w:val="44"/>
          <w:szCs w:val="44"/>
        </w:rPr>
        <w:t>Podle jejich aktivit na našem území je lze rozdělit do tří hlavních typů:</w:t>
      </w:r>
    </w:p>
    <w:p w:rsidR="00623C9C" w:rsidRDefault="00623C9C" w:rsidP="00623C9C">
      <w:pPr>
        <w:numPr>
          <w:ilvl w:val="0"/>
          <w:numId w:val="1"/>
        </w:numPr>
        <w:ind w:left="0" w:firstLine="0"/>
        <w:jc w:val="both"/>
        <w:rPr>
          <w:sz w:val="44"/>
          <w:szCs w:val="44"/>
        </w:rPr>
      </w:pPr>
      <w:r w:rsidRPr="006D39C3">
        <w:rPr>
          <w:sz w:val="44"/>
          <w:szCs w:val="44"/>
        </w:rPr>
        <w:t>Pracovníci převážně v dělnických a málo kvalifikovaných profesích (ze zemí býv. Sov. Svazu, Polska a Balkánu, jsou mezi nimi často lidé kvalifikovaní se středoškolským i vysokoškolským vzděláním.</w:t>
      </w:r>
    </w:p>
    <w:p w:rsidR="00623C9C" w:rsidRDefault="00623C9C" w:rsidP="00623C9C">
      <w:pPr>
        <w:numPr>
          <w:ilvl w:val="0"/>
          <w:numId w:val="1"/>
        </w:numPr>
        <w:tabs>
          <w:tab w:val="clear" w:pos="720"/>
          <w:tab w:val="num" w:pos="0"/>
        </w:tabs>
        <w:jc w:val="both"/>
        <w:rPr>
          <w:sz w:val="44"/>
          <w:szCs w:val="44"/>
        </w:rPr>
      </w:pPr>
      <w:r w:rsidRPr="006D39C3">
        <w:rPr>
          <w:sz w:val="44"/>
          <w:szCs w:val="44"/>
        </w:rPr>
        <w:lastRenderedPageBreak/>
        <w:t xml:space="preserve">Obchodníci a podnikatelé, většinou z asijských zemí, a to z Vietnamu, Thajska, Pákistánu a Číny. </w:t>
      </w:r>
    </w:p>
    <w:p w:rsidR="00623C9C" w:rsidRPr="006D39C3" w:rsidRDefault="00623C9C" w:rsidP="00623C9C">
      <w:pPr>
        <w:numPr>
          <w:ilvl w:val="0"/>
          <w:numId w:val="1"/>
        </w:numPr>
        <w:tabs>
          <w:tab w:val="clear" w:pos="720"/>
          <w:tab w:val="num" w:pos="0"/>
        </w:tabs>
        <w:jc w:val="both"/>
        <w:rPr>
          <w:sz w:val="44"/>
          <w:szCs w:val="44"/>
        </w:rPr>
      </w:pPr>
      <w:r>
        <w:rPr>
          <w:sz w:val="44"/>
          <w:szCs w:val="44"/>
        </w:rPr>
        <w:t xml:space="preserve"> </w:t>
      </w:r>
      <w:r w:rsidRPr="006D39C3">
        <w:rPr>
          <w:sz w:val="44"/>
          <w:szCs w:val="44"/>
        </w:rPr>
        <w:t>Imigranti z vyspělých zemí, většinou vysoce kvalifikovaní, s vyšším vzděláním, kteří jsou nejčastěji zaměstnáni ve vedení různých firem, jako poradci, podnikatelé nebo ve vzdělávací sféře</w:t>
      </w:r>
      <w:r>
        <w:rPr>
          <w:sz w:val="44"/>
          <w:szCs w:val="44"/>
        </w:rPr>
        <w:t>.</w:t>
      </w:r>
    </w:p>
    <w:p w:rsidR="00623C9C" w:rsidRPr="00136589" w:rsidRDefault="00623C9C" w:rsidP="00623C9C">
      <w:pPr>
        <w:jc w:val="both"/>
        <w:rPr>
          <w:sz w:val="44"/>
          <w:szCs w:val="44"/>
        </w:rPr>
      </w:pPr>
    </w:p>
    <w:p w:rsidR="00623C9C" w:rsidRDefault="00623C9C" w:rsidP="00623C9C">
      <w:pPr>
        <w:jc w:val="both"/>
        <w:rPr>
          <w:sz w:val="44"/>
          <w:szCs w:val="44"/>
        </w:rPr>
      </w:pPr>
      <w:r w:rsidRPr="00136589">
        <w:rPr>
          <w:sz w:val="44"/>
          <w:szCs w:val="44"/>
        </w:rPr>
        <w:t xml:space="preserve">Obtížně lze kvantifikovat rozsah </w:t>
      </w:r>
      <w:r w:rsidRPr="00136589">
        <w:rPr>
          <w:b/>
          <w:bCs/>
          <w:sz w:val="44"/>
          <w:szCs w:val="44"/>
        </w:rPr>
        <w:t>déletrvajících nelegálních pobytů</w:t>
      </w:r>
      <w:r w:rsidRPr="00136589">
        <w:rPr>
          <w:sz w:val="44"/>
          <w:szCs w:val="44"/>
        </w:rPr>
        <w:t xml:space="preserve">. Převážně jde o osoby ze zemí bývalého vých. bloku, jižní a jihovýchodní Asie. </w:t>
      </w:r>
    </w:p>
    <w:p w:rsidR="00623C9C" w:rsidRPr="00136589" w:rsidRDefault="00623C9C" w:rsidP="00623C9C">
      <w:pPr>
        <w:jc w:val="both"/>
        <w:rPr>
          <w:sz w:val="44"/>
          <w:szCs w:val="44"/>
        </w:rPr>
      </w:pPr>
      <w:r w:rsidRPr="00136589">
        <w:rPr>
          <w:sz w:val="44"/>
          <w:szCs w:val="44"/>
        </w:rPr>
        <w:t xml:space="preserve">Odhaduje se, že jde až </w:t>
      </w:r>
      <w:r w:rsidRPr="00136589">
        <w:rPr>
          <w:b/>
          <w:bCs/>
          <w:sz w:val="44"/>
          <w:szCs w:val="44"/>
        </w:rPr>
        <w:t>o 100 tis.</w:t>
      </w:r>
      <w:r w:rsidRPr="00136589">
        <w:rPr>
          <w:sz w:val="44"/>
          <w:szCs w:val="44"/>
        </w:rPr>
        <w:t xml:space="preserve"> pracovníků, hlavně ve stavebnictví.</w:t>
      </w:r>
    </w:p>
    <w:p w:rsidR="00623C9C" w:rsidRPr="00136589" w:rsidRDefault="00623C9C" w:rsidP="00623C9C">
      <w:pPr>
        <w:jc w:val="both"/>
        <w:rPr>
          <w:sz w:val="44"/>
          <w:szCs w:val="44"/>
        </w:rPr>
      </w:pPr>
      <w:r w:rsidRPr="00136589">
        <w:rPr>
          <w:sz w:val="44"/>
          <w:szCs w:val="44"/>
        </w:rPr>
        <w:t xml:space="preserve">Kromě zaměstnávání těchto nelegálních pracovníků slouží ČR jako </w:t>
      </w:r>
      <w:r w:rsidRPr="00136589">
        <w:rPr>
          <w:b/>
          <w:bCs/>
          <w:sz w:val="44"/>
          <w:szCs w:val="44"/>
        </w:rPr>
        <w:t>tranzitní země pro cizince</w:t>
      </w:r>
      <w:r w:rsidRPr="00136589">
        <w:rPr>
          <w:sz w:val="44"/>
          <w:szCs w:val="44"/>
        </w:rPr>
        <w:t xml:space="preserve">, kteří se snaží přejít nelegálně přes hranice do zemí EU. V roce 2000 bylo zjištěno ve směru z ČR více než </w:t>
      </w:r>
      <w:r w:rsidRPr="00136589">
        <w:rPr>
          <w:b/>
          <w:bCs/>
          <w:sz w:val="44"/>
          <w:szCs w:val="44"/>
        </w:rPr>
        <w:t>28 tis. nelegálních přechodů cizinců</w:t>
      </w:r>
      <w:r w:rsidRPr="00136589">
        <w:rPr>
          <w:sz w:val="44"/>
          <w:szCs w:val="44"/>
        </w:rPr>
        <w:t xml:space="preserve">. </w:t>
      </w:r>
    </w:p>
    <w:p w:rsidR="00623C9C" w:rsidRPr="00136589" w:rsidRDefault="00623C9C" w:rsidP="00623C9C">
      <w:pPr>
        <w:jc w:val="both"/>
        <w:rPr>
          <w:sz w:val="44"/>
          <w:szCs w:val="44"/>
        </w:rPr>
      </w:pPr>
    </w:p>
    <w:p w:rsidR="00623C9C" w:rsidRPr="00136589" w:rsidRDefault="00623C9C" w:rsidP="00623C9C">
      <w:pPr>
        <w:pStyle w:val="Nadpis2"/>
        <w:ind w:firstLine="0"/>
        <w:rPr>
          <w:sz w:val="44"/>
          <w:szCs w:val="44"/>
        </w:rPr>
      </w:pPr>
      <w:r w:rsidRPr="00136589">
        <w:rPr>
          <w:sz w:val="44"/>
          <w:szCs w:val="44"/>
        </w:rPr>
        <w:lastRenderedPageBreak/>
        <w:t>Vnitřní migrace</w:t>
      </w:r>
    </w:p>
    <w:p w:rsidR="00623C9C" w:rsidRPr="00136589" w:rsidRDefault="00623C9C" w:rsidP="00623C9C">
      <w:pPr>
        <w:jc w:val="both"/>
        <w:rPr>
          <w:sz w:val="44"/>
          <w:szCs w:val="44"/>
        </w:rPr>
      </w:pPr>
      <w:r w:rsidRPr="00136589">
        <w:rPr>
          <w:sz w:val="44"/>
          <w:szCs w:val="44"/>
        </w:rPr>
        <w:t>Statistika vnitřní migrace je založena na hlášení k trvalému pobytu (některé trvalé pobyty jsou fiktivní – nepřesnosti ve statistice – přesto je naše statistika jednou z nejúplnějších a nejpřesnějších v Evropě</w:t>
      </w:r>
    </w:p>
    <w:p w:rsidR="00623C9C" w:rsidRPr="00136589" w:rsidRDefault="00623C9C" w:rsidP="00623C9C">
      <w:pPr>
        <w:jc w:val="both"/>
        <w:rPr>
          <w:sz w:val="44"/>
          <w:szCs w:val="44"/>
        </w:rPr>
      </w:pPr>
    </w:p>
    <w:p w:rsidR="00623C9C" w:rsidRPr="00136589" w:rsidRDefault="00623C9C" w:rsidP="00623C9C">
      <w:pPr>
        <w:jc w:val="both"/>
        <w:rPr>
          <w:sz w:val="44"/>
          <w:szCs w:val="44"/>
        </w:rPr>
      </w:pPr>
      <w:r w:rsidRPr="00136589">
        <w:rPr>
          <w:sz w:val="44"/>
          <w:szCs w:val="44"/>
        </w:rPr>
        <w:t>Základním znakem dlouhodobého vývoje je pokles objemu vnitřní migrace. V roce 1980 se stěhovalo 283 tis. osob, v r. 1985 252 tis. a od roku 1991 je počet stěhování každoročně pod 250 tis.. Objem vnitřní migrace se od druhé  poloviny 90. let pohybuje na relativně stabilní úrovni kolem 200 tis. obyv. Je zde závislost na počtu obcí. V případě, kdy se obce slučují, pak ubývá stěhování z obce do obce. Z tohoto důvodu lze říci, že pokles objemu vnitřní migrace pokračoval i na konci 90. let a tak se snížila intenzita vnitř. migrace.</w:t>
      </w:r>
    </w:p>
    <w:p w:rsidR="00623C9C" w:rsidRPr="00136589" w:rsidRDefault="00623C9C" w:rsidP="00623C9C">
      <w:pPr>
        <w:jc w:val="both"/>
        <w:rPr>
          <w:sz w:val="44"/>
          <w:szCs w:val="44"/>
        </w:rPr>
      </w:pPr>
      <w:r w:rsidRPr="00136589">
        <w:rPr>
          <w:sz w:val="44"/>
          <w:szCs w:val="44"/>
        </w:rPr>
        <w:t>Hlavní trend 90. let je imigrace z velkých měst a emigrace do menších obcí u velkých měst. Do té doby urbanizace.</w:t>
      </w:r>
    </w:p>
    <w:p w:rsidR="00623C9C" w:rsidRPr="00136589" w:rsidRDefault="00623C9C" w:rsidP="00623C9C">
      <w:pPr>
        <w:jc w:val="both"/>
        <w:rPr>
          <w:sz w:val="44"/>
          <w:szCs w:val="44"/>
        </w:rPr>
      </w:pPr>
      <w:r w:rsidRPr="00136589">
        <w:rPr>
          <w:sz w:val="44"/>
          <w:szCs w:val="44"/>
        </w:rPr>
        <w:lastRenderedPageBreak/>
        <w:t xml:space="preserve">Nejčastějšími důvody jsou </w:t>
      </w:r>
      <w:r w:rsidRPr="00136589">
        <w:rPr>
          <w:b/>
          <w:bCs/>
          <w:sz w:val="44"/>
          <w:szCs w:val="44"/>
        </w:rPr>
        <w:t xml:space="preserve">bytové (30%), změna zaměstnání (6%) a uzavření sňatku </w:t>
      </w:r>
      <w:r w:rsidRPr="00136589">
        <w:rPr>
          <w:sz w:val="44"/>
          <w:szCs w:val="44"/>
        </w:rPr>
        <w:t>(15%). Odráží regionální rozdíly v živ. podm.</w:t>
      </w:r>
    </w:p>
    <w:p w:rsidR="00623C9C" w:rsidRPr="00136589" w:rsidRDefault="00623C9C" w:rsidP="00623C9C">
      <w:pPr>
        <w:jc w:val="both"/>
        <w:rPr>
          <w:sz w:val="44"/>
          <w:szCs w:val="44"/>
        </w:rPr>
      </w:pPr>
      <w:r w:rsidRPr="00136589">
        <w:rPr>
          <w:sz w:val="44"/>
          <w:szCs w:val="44"/>
        </w:rPr>
        <w:t>Období 90. let – pokles objemu vnitřního stěhování</w:t>
      </w:r>
    </w:p>
    <w:p w:rsidR="00623C9C" w:rsidRPr="00136589" w:rsidRDefault="00623C9C" w:rsidP="00623C9C">
      <w:pPr>
        <w:ind w:firstLine="709"/>
        <w:jc w:val="both"/>
        <w:rPr>
          <w:sz w:val="44"/>
          <w:szCs w:val="44"/>
        </w:rPr>
      </w:pPr>
    </w:p>
    <w:p w:rsidR="00623C9C" w:rsidRPr="00136589" w:rsidRDefault="00623C9C" w:rsidP="00623C9C">
      <w:pPr>
        <w:jc w:val="both"/>
        <w:rPr>
          <w:sz w:val="44"/>
          <w:szCs w:val="44"/>
        </w:rPr>
      </w:pPr>
      <w:r w:rsidRPr="00136589">
        <w:rPr>
          <w:sz w:val="44"/>
          <w:szCs w:val="44"/>
        </w:rPr>
        <w:t xml:space="preserve">Hlavní </w:t>
      </w:r>
      <w:r w:rsidRPr="00136589">
        <w:rPr>
          <w:b/>
          <w:bCs/>
          <w:sz w:val="44"/>
          <w:szCs w:val="44"/>
        </w:rPr>
        <w:t>imigrační oblast je Středočeský kraj</w:t>
      </w:r>
      <w:r w:rsidRPr="00136589">
        <w:rPr>
          <w:sz w:val="44"/>
          <w:szCs w:val="44"/>
        </w:rPr>
        <w:t xml:space="preserve"> – více než 60% přistěhovalých je z Prahy. Takové </w:t>
      </w:r>
      <w:r w:rsidRPr="00136589">
        <w:rPr>
          <w:b/>
          <w:bCs/>
          <w:sz w:val="44"/>
          <w:szCs w:val="44"/>
        </w:rPr>
        <w:t>suburbanizační tendence</w:t>
      </w:r>
      <w:r w:rsidRPr="00136589">
        <w:rPr>
          <w:sz w:val="44"/>
          <w:szCs w:val="44"/>
        </w:rPr>
        <w:t xml:space="preserve"> jsou patrné i v dalších velkých městech, zejména v Brně. To potvrzuje i nejvyšší úbytky obyvatel migrací právě v městských regionech. Důvodem jsou hlavně špatné bytové podmínky ve velkých městech.</w:t>
      </w:r>
    </w:p>
    <w:p w:rsidR="00623C9C" w:rsidRPr="00136589" w:rsidRDefault="00623C9C" w:rsidP="00623C9C">
      <w:pPr>
        <w:ind w:firstLine="709"/>
        <w:jc w:val="both"/>
        <w:rPr>
          <w:sz w:val="44"/>
          <w:szCs w:val="44"/>
        </w:rPr>
      </w:pPr>
    </w:p>
    <w:p w:rsidR="00623C9C" w:rsidRPr="00136589" w:rsidRDefault="00623C9C" w:rsidP="00623C9C">
      <w:pPr>
        <w:jc w:val="both"/>
        <w:rPr>
          <w:sz w:val="44"/>
          <w:szCs w:val="44"/>
        </w:rPr>
      </w:pPr>
      <w:r w:rsidRPr="00136589">
        <w:rPr>
          <w:sz w:val="44"/>
          <w:szCs w:val="44"/>
        </w:rPr>
        <w:t xml:space="preserve">Dalším trendem migračního vývoje je pokračující </w:t>
      </w:r>
      <w:r w:rsidRPr="00136589">
        <w:rPr>
          <w:b/>
          <w:bCs/>
          <w:sz w:val="44"/>
          <w:szCs w:val="44"/>
        </w:rPr>
        <w:t>vylid</w:t>
      </w:r>
      <w:r>
        <w:rPr>
          <w:b/>
          <w:bCs/>
          <w:sz w:val="44"/>
          <w:szCs w:val="44"/>
        </w:rPr>
        <w:t>ň</w:t>
      </w:r>
      <w:r w:rsidRPr="00136589">
        <w:rPr>
          <w:b/>
          <w:bCs/>
          <w:sz w:val="44"/>
          <w:szCs w:val="44"/>
        </w:rPr>
        <w:t>ování špatně dostupných malých sídel</w:t>
      </w:r>
      <w:r w:rsidRPr="00136589">
        <w:rPr>
          <w:sz w:val="44"/>
          <w:szCs w:val="44"/>
        </w:rPr>
        <w:t xml:space="preserve">, vzdálených od ekonomických center, která se i v 90. letech mění na sídla s rekreační funkcí. Rekreační objekty v nich slouží </w:t>
      </w:r>
      <w:r w:rsidRPr="00136589">
        <w:rPr>
          <w:sz w:val="44"/>
          <w:szCs w:val="44"/>
        </w:rPr>
        <w:lastRenderedPageBreak/>
        <w:t xml:space="preserve">jako druhé bydlení pro určité vrstvy městského obyvatelstva (zejména důch. věku), které zde přechodně žije část roku. </w:t>
      </w:r>
    </w:p>
    <w:p w:rsidR="00623C9C" w:rsidRPr="00136589" w:rsidRDefault="00623C9C" w:rsidP="00623C9C">
      <w:pPr>
        <w:ind w:firstLine="709"/>
        <w:jc w:val="both"/>
        <w:rPr>
          <w:sz w:val="44"/>
          <w:szCs w:val="44"/>
        </w:rPr>
      </w:pPr>
    </w:p>
    <w:p w:rsidR="00623C9C" w:rsidRPr="00136589" w:rsidRDefault="00623C9C" w:rsidP="00623C9C">
      <w:pPr>
        <w:jc w:val="both"/>
        <w:rPr>
          <w:sz w:val="44"/>
          <w:szCs w:val="44"/>
        </w:rPr>
      </w:pPr>
      <w:r w:rsidRPr="00136589">
        <w:rPr>
          <w:sz w:val="44"/>
          <w:szCs w:val="44"/>
        </w:rPr>
        <w:t>Naopak některé dřívější rekreační objekty blízko ekonomických center či dobře dostupné se vrátily k funkci trvalého bydlení.</w:t>
      </w:r>
    </w:p>
    <w:p w:rsidR="00623C9C" w:rsidRPr="00136589" w:rsidRDefault="00623C9C" w:rsidP="00623C9C">
      <w:pPr>
        <w:ind w:firstLine="709"/>
        <w:jc w:val="both"/>
        <w:rPr>
          <w:sz w:val="44"/>
          <w:szCs w:val="44"/>
        </w:rPr>
      </w:pPr>
    </w:p>
    <w:p w:rsidR="00623C9C" w:rsidRPr="00136589" w:rsidRDefault="00623C9C" w:rsidP="00623C9C">
      <w:pPr>
        <w:jc w:val="both"/>
        <w:rPr>
          <w:sz w:val="44"/>
          <w:szCs w:val="44"/>
        </w:rPr>
      </w:pPr>
      <w:r w:rsidRPr="006D39C3">
        <w:rPr>
          <w:b/>
          <w:sz w:val="44"/>
          <w:szCs w:val="44"/>
        </w:rPr>
        <w:t>Migrace</w:t>
      </w:r>
      <w:r w:rsidRPr="00136589">
        <w:rPr>
          <w:sz w:val="44"/>
          <w:szCs w:val="44"/>
        </w:rPr>
        <w:t xml:space="preserve"> byla a je záležitostí mladých lidí, polovina migrantů v ČR je tr</w:t>
      </w:r>
      <w:r w:rsidR="00A33DD4">
        <w:rPr>
          <w:sz w:val="44"/>
          <w:szCs w:val="44"/>
        </w:rPr>
        <w:t>vale ve věku nižším než 26 let,</w:t>
      </w:r>
      <w:r w:rsidRPr="00136589">
        <w:rPr>
          <w:sz w:val="44"/>
          <w:szCs w:val="44"/>
        </w:rPr>
        <w:t xml:space="preserve"> v 90. letech přibylo podíl migrantů ve vyšších věkových skupinách. Omezená migrace naráží na tradiční nechuť ke stěhování a neexistence normálního trhu s byty. Atraktivita jednotlivých oblastí je dána dostupností bydlení, ne příležitostmi k zaměstnání.</w:t>
      </w:r>
    </w:p>
    <w:p w:rsidR="00623C9C" w:rsidRPr="00136589" w:rsidRDefault="00623C9C" w:rsidP="00623C9C">
      <w:pPr>
        <w:rPr>
          <w:sz w:val="44"/>
          <w:szCs w:val="44"/>
        </w:rPr>
      </w:pPr>
    </w:p>
    <w:p w:rsidR="00623C9C" w:rsidRPr="00136589" w:rsidRDefault="00623C9C" w:rsidP="00623C9C">
      <w:pPr>
        <w:rPr>
          <w:b/>
          <w:sz w:val="44"/>
          <w:szCs w:val="44"/>
        </w:rPr>
      </w:pPr>
    </w:p>
    <w:p w:rsidR="00623C9C" w:rsidRDefault="00623C9C" w:rsidP="00623C9C">
      <w:pPr>
        <w:rPr>
          <w:b/>
          <w:sz w:val="44"/>
          <w:szCs w:val="44"/>
          <w:u w:val="single"/>
        </w:rPr>
      </w:pPr>
    </w:p>
    <w:p w:rsidR="009215D9" w:rsidRDefault="009215D9" w:rsidP="00623C9C">
      <w:pPr>
        <w:rPr>
          <w:b/>
          <w:sz w:val="44"/>
          <w:szCs w:val="44"/>
          <w:u w:val="single"/>
        </w:rPr>
      </w:pPr>
    </w:p>
    <w:p w:rsidR="00623C9C" w:rsidRPr="00136589" w:rsidRDefault="00623C9C" w:rsidP="00623C9C">
      <w:pPr>
        <w:rPr>
          <w:b/>
          <w:sz w:val="44"/>
          <w:szCs w:val="44"/>
          <w:u w:val="single"/>
        </w:rPr>
      </w:pPr>
      <w:r w:rsidRPr="00136589">
        <w:rPr>
          <w:b/>
          <w:sz w:val="44"/>
          <w:szCs w:val="44"/>
          <w:u w:val="single"/>
        </w:rPr>
        <w:t>Použité zdroje:</w:t>
      </w:r>
    </w:p>
    <w:p w:rsidR="00623C9C" w:rsidRDefault="00623C9C" w:rsidP="00623C9C">
      <w:pPr>
        <w:rPr>
          <w:bCs/>
          <w:sz w:val="44"/>
          <w:szCs w:val="44"/>
        </w:rPr>
      </w:pPr>
    </w:p>
    <w:p w:rsidR="00623C9C" w:rsidRDefault="00623C9C" w:rsidP="00623C9C">
      <w:pPr>
        <w:rPr>
          <w:sz w:val="44"/>
          <w:szCs w:val="44"/>
        </w:rPr>
      </w:pPr>
      <w:r>
        <w:rPr>
          <w:bCs/>
          <w:sz w:val="44"/>
          <w:szCs w:val="44"/>
        </w:rPr>
        <w:t>Migrace</w:t>
      </w:r>
      <w:r w:rsidRPr="00562193">
        <w:rPr>
          <w:bCs/>
          <w:sz w:val="44"/>
          <w:szCs w:val="44"/>
        </w:rPr>
        <w:t>. Článek</w:t>
      </w:r>
      <w:r w:rsidRPr="00EB626F">
        <w:rPr>
          <w:sz w:val="44"/>
          <w:szCs w:val="44"/>
        </w:rPr>
        <w:t xml:space="preserve">[online]. </w:t>
      </w:r>
      <w:r>
        <w:rPr>
          <w:sz w:val="44"/>
          <w:szCs w:val="44"/>
        </w:rPr>
        <w:t xml:space="preserve">Nestr. </w:t>
      </w:r>
      <w:r w:rsidRPr="00EB626F">
        <w:rPr>
          <w:sz w:val="44"/>
          <w:szCs w:val="44"/>
        </w:rPr>
        <w:t xml:space="preserve">[cit. </w:t>
      </w:r>
      <w:r w:rsidR="002862CB">
        <w:rPr>
          <w:sz w:val="44"/>
          <w:szCs w:val="44"/>
        </w:rPr>
        <w:t>9</w:t>
      </w:r>
      <w:r>
        <w:rPr>
          <w:sz w:val="44"/>
          <w:szCs w:val="44"/>
        </w:rPr>
        <w:t xml:space="preserve">. </w:t>
      </w:r>
      <w:r w:rsidR="002862CB">
        <w:rPr>
          <w:sz w:val="44"/>
          <w:szCs w:val="44"/>
        </w:rPr>
        <w:t>9</w:t>
      </w:r>
      <w:r>
        <w:rPr>
          <w:sz w:val="44"/>
          <w:szCs w:val="44"/>
        </w:rPr>
        <w:t xml:space="preserve">. </w:t>
      </w:r>
      <w:r w:rsidRPr="00EB626F">
        <w:rPr>
          <w:sz w:val="44"/>
          <w:szCs w:val="44"/>
        </w:rPr>
        <w:t>201</w:t>
      </w:r>
      <w:r w:rsidR="002862CB">
        <w:rPr>
          <w:sz w:val="44"/>
          <w:szCs w:val="44"/>
        </w:rPr>
        <w:t>3</w:t>
      </w:r>
      <w:r>
        <w:rPr>
          <w:sz w:val="44"/>
          <w:szCs w:val="44"/>
        </w:rPr>
        <w:t xml:space="preserve"> v 20, 48 hod.</w:t>
      </w:r>
      <w:r w:rsidRPr="00EB626F">
        <w:rPr>
          <w:sz w:val="44"/>
          <w:szCs w:val="44"/>
        </w:rPr>
        <w:t xml:space="preserve">]. </w:t>
      </w:r>
    </w:p>
    <w:p w:rsidR="00623C9C" w:rsidRPr="00AC57A8" w:rsidRDefault="00623C9C" w:rsidP="00623C9C">
      <w:pPr>
        <w:rPr>
          <w:sz w:val="44"/>
          <w:szCs w:val="44"/>
        </w:rPr>
      </w:pPr>
      <w:r w:rsidRPr="00EB626F">
        <w:rPr>
          <w:sz w:val="44"/>
          <w:szCs w:val="44"/>
        </w:rPr>
        <w:t xml:space="preserve">Dostupný na WWW: </w:t>
      </w:r>
      <w:r>
        <w:rPr>
          <w:b/>
          <w:sz w:val="44"/>
          <w:szCs w:val="44"/>
        </w:rPr>
        <w:t>&lt;</w:t>
      </w:r>
      <w:hyperlink r:id="rId7" w:history="1">
        <w:r w:rsidRPr="00136589">
          <w:rPr>
            <w:rStyle w:val="Hypertextovodkaz"/>
            <w:rFonts w:eastAsiaTheme="majorEastAsia"/>
            <w:sz w:val="44"/>
            <w:szCs w:val="44"/>
          </w:rPr>
          <w:t>http://cs.wikipedia.org/wiki/Migrace</w:t>
        </w:r>
      </w:hyperlink>
      <w:r>
        <w:rPr>
          <w:b/>
          <w:sz w:val="44"/>
          <w:szCs w:val="44"/>
        </w:rPr>
        <w:t>&gt;</w:t>
      </w:r>
      <w:r>
        <w:rPr>
          <w:bCs/>
          <w:sz w:val="44"/>
          <w:szCs w:val="44"/>
        </w:rPr>
        <w:t>.</w:t>
      </w:r>
    </w:p>
    <w:p w:rsidR="00623C9C" w:rsidRDefault="00623C9C" w:rsidP="00623C9C">
      <w:pPr>
        <w:rPr>
          <w:b/>
          <w:sz w:val="44"/>
          <w:szCs w:val="44"/>
        </w:rPr>
      </w:pPr>
    </w:p>
    <w:p w:rsidR="00623C9C" w:rsidRDefault="00623C9C" w:rsidP="00623C9C">
      <w:pPr>
        <w:rPr>
          <w:sz w:val="44"/>
          <w:szCs w:val="44"/>
        </w:rPr>
      </w:pPr>
      <w:r>
        <w:rPr>
          <w:bCs/>
          <w:sz w:val="44"/>
          <w:szCs w:val="44"/>
        </w:rPr>
        <w:t>Vnitřní migrace v ČR</w:t>
      </w:r>
      <w:r w:rsidRPr="00562193">
        <w:rPr>
          <w:bCs/>
          <w:sz w:val="44"/>
          <w:szCs w:val="44"/>
        </w:rPr>
        <w:t>. Článek</w:t>
      </w:r>
      <w:r w:rsidRPr="00EB626F">
        <w:rPr>
          <w:sz w:val="44"/>
          <w:szCs w:val="44"/>
        </w:rPr>
        <w:t xml:space="preserve">[online]. </w:t>
      </w:r>
      <w:r>
        <w:rPr>
          <w:sz w:val="44"/>
          <w:szCs w:val="44"/>
        </w:rPr>
        <w:t xml:space="preserve">Nestr. </w:t>
      </w:r>
      <w:r w:rsidRPr="00EB626F">
        <w:rPr>
          <w:sz w:val="44"/>
          <w:szCs w:val="44"/>
        </w:rPr>
        <w:t xml:space="preserve">[cit. </w:t>
      </w:r>
      <w:r w:rsidR="002862CB">
        <w:rPr>
          <w:sz w:val="44"/>
          <w:szCs w:val="44"/>
        </w:rPr>
        <w:t>9</w:t>
      </w:r>
      <w:r>
        <w:rPr>
          <w:sz w:val="44"/>
          <w:szCs w:val="44"/>
        </w:rPr>
        <w:t xml:space="preserve">. </w:t>
      </w:r>
      <w:r w:rsidR="002862CB">
        <w:rPr>
          <w:sz w:val="44"/>
          <w:szCs w:val="44"/>
        </w:rPr>
        <w:t>9</w:t>
      </w:r>
      <w:r>
        <w:rPr>
          <w:sz w:val="44"/>
          <w:szCs w:val="44"/>
        </w:rPr>
        <w:t xml:space="preserve">. </w:t>
      </w:r>
      <w:r w:rsidRPr="00EB626F">
        <w:rPr>
          <w:sz w:val="44"/>
          <w:szCs w:val="44"/>
        </w:rPr>
        <w:t>201</w:t>
      </w:r>
      <w:r w:rsidR="002862CB">
        <w:rPr>
          <w:sz w:val="44"/>
          <w:szCs w:val="44"/>
        </w:rPr>
        <w:t>3</w:t>
      </w:r>
      <w:r>
        <w:rPr>
          <w:sz w:val="44"/>
          <w:szCs w:val="44"/>
        </w:rPr>
        <w:t xml:space="preserve"> v 20, 51 hod.</w:t>
      </w:r>
      <w:r w:rsidRPr="00EB626F">
        <w:rPr>
          <w:sz w:val="44"/>
          <w:szCs w:val="44"/>
        </w:rPr>
        <w:t xml:space="preserve">]. </w:t>
      </w:r>
    </w:p>
    <w:p w:rsidR="00623C9C" w:rsidRPr="00136589" w:rsidRDefault="00623C9C" w:rsidP="00623C9C">
      <w:pPr>
        <w:rPr>
          <w:sz w:val="44"/>
          <w:szCs w:val="44"/>
        </w:rPr>
      </w:pPr>
      <w:r w:rsidRPr="00EB626F">
        <w:rPr>
          <w:sz w:val="44"/>
          <w:szCs w:val="44"/>
        </w:rPr>
        <w:t xml:space="preserve">Dostupný na WWW: </w:t>
      </w:r>
      <w:r>
        <w:rPr>
          <w:b/>
          <w:sz w:val="44"/>
          <w:szCs w:val="44"/>
        </w:rPr>
        <w:t>&lt;</w:t>
      </w:r>
      <w:hyperlink r:id="rId8" w:history="1">
        <w:r w:rsidRPr="00136589">
          <w:rPr>
            <w:rStyle w:val="Hypertextovodkaz"/>
            <w:rFonts w:eastAsiaTheme="majorEastAsia"/>
            <w:sz w:val="44"/>
            <w:szCs w:val="44"/>
          </w:rPr>
          <w:t>http://www.zemepis.com/migracecr.php</w:t>
        </w:r>
      </w:hyperlink>
      <w:r>
        <w:rPr>
          <w:sz w:val="44"/>
          <w:szCs w:val="44"/>
        </w:rPr>
        <w:t>&gt;.</w:t>
      </w:r>
    </w:p>
    <w:p w:rsidR="00623C9C" w:rsidRDefault="00623C9C" w:rsidP="00623C9C"/>
    <w:p w:rsidR="00F17486" w:rsidRDefault="00F17486"/>
    <w:sectPr w:rsidR="00F17486" w:rsidSect="00623C9C">
      <w:headerReference w:type="default" r:id="rId9"/>
      <w:footerReference w:type="default" r:id="rId10"/>
      <w:pgSz w:w="16838" w:h="11906" w:orient="landscape"/>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AB10B5" w:rsidRDefault="00AB10B5" w:rsidP="009F61E7">
      <w:r>
        <w:separator/>
      </w:r>
    </w:p>
  </w:endnote>
  <w:endnote w:type="continuationSeparator" w:id="0">
    <w:p w:rsidR="00AB10B5" w:rsidRDefault="00AB10B5" w:rsidP="009F61E7">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 w:name="Tahoma">
    <w:panose1 w:val="020B0604030504040204"/>
    <w:charset w:val="EE"/>
    <w:family w:val="swiss"/>
    <w:pitch w:val="variable"/>
    <w:sig w:usb0="61002A87" w:usb1="80000000" w:usb2="00000008" w:usb3="00000000" w:csb0="000101FF" w:csb1="00000000"/>
  </w:font>
  <w:font w:name="Arial">
    <w:panose1 w:val="020B0604020202020204"/>
    <w:charset w:val="EE"/>
    <w:family w:val="swiss"/>
    <w:pitch w:val="variable"/>
    <w:sig w:usb0="20002A87" w:usb1="80000000" w:usb2="00000008"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28522626"/>
      <w:docPartObj>
        <w:docPartGallery w:val="Page Numbers (Bottom of Page)"/>
        <w:docPartUnique/>
      </w:docPartObj>
    </w:sdtPr>
    <w:sdtContent>
      <w:p w:rsidR="00136589" w:rsidRDefault="00563DB9">
        <w:pPr>
          <w:pStyle w:val="Zpat"/>
          <w:jc w:val="center"/>
        </w:pPr>
        <w:r>
          <w:fldChar w:fldCharType="begin"/>
        </w:r>
        <w:r w:rsidR="007E73BD">
          <w:instrText xml:space="preserve"> PAGE   \* MERGEFORMAT </w:instrText>
        </w:r>
        <w:r>
          <w:fldChar w:fldCharType="separate"/>
        </w:r>
        <w:r w:rsidR="00A33DD4">
          <w:rPr>
            <w:noProof/>
          </w:rPr>
          <w:t>9</w:t>
        </w:r>
        <w:r>
          <w:fldChar w:fldCharType="end"/>
        </w:r>
      </w:p>
    </w:sdtContent>
  </w:sdt>
  <w:p w:rsidR="00136589" w:rsidRDefault="00AB10B5">
    <w:pPr>
      <w:pStyle w:val="Zpa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AB10B5" w:rsidRDefault="00AB10B5" w:rsidP="009F61E7">
      <w:r>
        <w:separator/>
      </w:r>
    </w:p>
  </w:footnote>
  <w:footnote w:type="continuationSeparator" w:id="0">
    <w:p w:rsidR="00AB10B5" w:rsidRDefault="00AB10B5" w:rsidP="009F61E7">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6D39C3" w:rsidRDefault="007E73BD" w:rsidP="006D39C3">
    <w:pPr>
      <w:pStyle w:val="Zhlav"/>
      <w:jc w:val="center"/>
    </w:pPr>
    <w:r>
      <w:rPr>
        <w:noProof/>
      </w:rPr>
      <w:drawing>
        <wp:inline distT="0" distB="0" distL="0" distR="0">
          <wp:extent cx="5972175" cy="1457325"/>
          <wp:effectExtent l="19050" t="0" r="9525" b="0"/>
          <wp:docPr id="3" name="obráze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1"/>
                  <pic:cNvPicPr>
                    <a:picLocks noChangeAspect="1" noChangeArrowheads="1"/>
                  </pic:cNvPicPr>
                </pic:nvPicPr>
                <pic:blipFill>
                  <a:blip r:embed="rId1"/>
                  <a:srcRect/>
                  <a:stretch>
                    <a:fillRect/>
                  </a:stretch>
                </pic:blipFill>
                <pic:spPr bwMode="auto">
                  <a:xfrm>
                    <a:off x="0" y="0"/>
                    <a:ext cx="5972175" cy="1457325"/>
                  </a:xfrm>
                  <a:prstGeom prst="rect">
                    <a:avLst/>
                  </a:prstGeom>
                  <a:solidFill>
                    <a:srgbClr val="FFFFFF"/>
                  </a:solidFill>
                  <a:ln w="9525">
                    <a:noFill/>
                    <a:miter lim="800000"/>
                    <a:headEnd/>
                    <a:tailEnd/>
                  </a:ln>
                </pic:spPr>
              </pic:pic>
            </a:graphicData>
          </a:graphic>
        </wp:inline>
      </w:drawing>
    </w:r>
  </w:p>
  <w:p w:rsidR="006D39C3" w:rsidRDefault="00AB10B5">
    <w:pPr>
      <w:pStyle w:val="Zhlav"/>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2437E6A"/>
    <w:multiLevelType w:val="hybridMultilevel"/>
    <w:tmpl w:val="8DA20558"/>
    <w:lvl w:ilvl="0" w:tplc="04050017">
      <w:start w:val="1"/>
      <w:numFmt w:val="lowerLetter"/>
      <w:lvlText w:val="%1)"/>
      <w:lvlJc w:val="left"/>
      <w:pPr>
        <w:tabs>
          <w:tab w:val="num" w:pos="720"/>
        </w:tabs>
        <w:ind w:left="720" w:hanging="360"/>
      </w:pPr>
      <w:rPr>
        <w:rFonts w:hint="default"/>
      </w:rPr>
    </w:lvl>
    <w:lvl w:ilvl="1" w:tplc="04050019">
      <w:start w:val="1"/>
      <w:numFmt w:val="lowerLetter"/>
      <w:lvlText w:val="%2."/>
      <w:lvlJc w:val="left"/>
      <w:pPr>
        <w:tabs>
          <w:tab w:val="num" w:pos="1440"/>
        </w:tabs>
        <w:ind w:left="1440" w:hanging="360"/>
      </w:pPr>
    </w:lvl>
    <w:lvl w:ilvl="2" w:tplc="0405001B" w:tentative="1">
      <w:start w:val="1"/>
      <w:numFmt w:val="lowerRoman"/>
      <w:lvlText w:val="%3."/>
      <w:lvlJc w:val="right"/>
      <w:pPr>
        <w:tabs>
          <w:tab w:val="num" w:pos="2160"/>
        </w:tabs>
        <w:ind w:left="2160" w:hanging="180"/>
      </w:pPr>
    </w:lvl>
    <w:lvl w:ilvl="3" w:tplc="0405000F" w:tentative="1">
      <w:start w:val="1"/>
      <w:numFmt w:val="decimal"/>
      <w:lvlText w:val="%4."/>
      <w:lvlJc w:val="left"/>
      <w:pPr>
        <w:tabs>
          <w:tab w:val="num" w:pos="2880"/>
        </w:tabs>
        <w:ind w:left="2880" w:hanging="360"/>
      </w:pPr>
    </w:lvl>
    <w:lvl w:ilvl="4" w:tplc="04050019" w:tentative="1">
      <w:start w:val="1"/>
      <w:numFmt w:val="lowerLetter"/>
      <w:lvlText w:val="%5."/>
      <w:lvlJc w:val="left"/>
      <w:pPr>
        <w:tabs>
          <w:tab w:val="num" w:pos="3600"/>
        </w:tabs>
        <w:ind w:left="3600" w:hanging="360"/>
      </w:pPr>
    </w:lvl>
    <w:lvl w:ilvl="5" w:tplc="0405001B" w:tentative="1">
      <w:start w:val="1"/>
      <w:numFmt w:val="lowerRoman"/>
      <w:lvlText w:val="%6."/>
      <w:lvlJc w:val="right"/>
      <w:pPr>
        <w:tabs>
          <w:tab w:val="num" w:pos="4320"/>
        </w:tabs>
        <w:ind w:left="4320" w:hanging="180"/>
      </w:pPr>
    </w:lvl>
    <w:lvl w:ilvl="6" w:tplc="0405000F" w:tentative="1">
      <w:start w:val="1"/>
      <w:numFmt w:val="decimal"/>
      <w:lvlText w:val="%7."/>
      <w:lvlJc w:val="left"/>
      <w:pPr>
        <w:tabs>
          <w:tab w:val="num" w:pos="5040"/>
        </w:tabs>
        <w:ind w:left="5040" w:hanging="360"/>
      </w:pPr>
    </w:lvl>
    <w:lvl w:ilvl="7" w:tplc="04050019" w:tentative="1">
      <w:start w:val="1"/>
      <w:numFmt w:val="lowerLetter"/>
      <w:lvlText w:val="%8."/>
      <w:lvlJc w:val="left"/>
      <w:pPr>
        <w:tabs>
          <w:tab w:val="num" w:pos="5760"/>
        </w:tabs>
        <w:ind w:left="5760" w:hanging="360"/>
      </w:pPr>
    </w:lvl>
    <w:lvl w:ilvl="8" w:tplc="0405001B" w:tentative="1">
      <w:start w:val="1"/>
      <w:numFmt w:val="lowerRoman"/>
      <w:lvlText w:val="%9."/>
      <w:lvlJc w:val="right"/>
      <w:pPr>
        <w:tabs>
          <w:tab w:val="num" w:pos="6480"/>
        </w:tabs>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hyphenationZone w:val="425"/>
  <w:drawingGridHorizontalSpacing w:val="120"/>
  <w:displayHorizontalDrawingGridEvery w:val="2"/>
  <w:characterSpacingControl w:val="doNotCompress"/>
  <w:footnotePr>
    <w:footnote w:id="-1"/>
    <w:footnote w:id="0"/>
  </w:footnotePr>
  <w:endnotePr>
    <w:endnote w:id="-1"/>
    <w:endnote w:id="0"/>
  </w:endnotePr>
  <w:compat/>
  <w:rsids>
    <w:rsidRoot w:val="00623C9C"/>
    <w:rsid w:val="002862CB"/>
    <w:rsid w:val="002C7116"/>
    <w:rsid w:val="00563DB9"/>
    <w:rsid w:val="00623C9C"/>
    <w:rsid w:val="006F1145"/>
    <w:rsid w:val="007E73BD"/>
    <w:rsid w:val="009215D9"/>
    <w:rsid w:val="009E7B1E"/>
    <w:rsid w:val="009F61E7"/>
    <w:rsid w:val="00A33DD4"/>
    <w:rsid w:val="00A83FF6"/>
    <w:rsid w:val="00AB10B5"/>
    <w:rsid w:val="00D35C21"/>
    <w:rsid w:val="00F17486"/>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5122"/>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623C9C"/>
    <w:pPr>
      <w:spacing w:after="0" w:line="240" w:lineRule="auto"/>
    </w:pPr>
    <w:rPr>
      <w:rFonts w:ascii="Times New Roman" w:eastAsia="Times New Roman" w:hAnsi="Times New Roman" w:cs="Times New Roman"/>
      <w:sz w:val="24"/>
      <w:szCs w:val="24"/>
      <w:lang w:eastAsia="cs-CZ"/>
    </w:rPr>
  </w:style>
  <w:style w:type="paragraph" w:styleId="Nadpis1">
    <w:name w:val="heading 1"/>
    <w:basedOn w:val="Normln"/>
    <w:next w:val="Normln"/>
    <w:link w:val="Nadpis1Char"/>
    <w:uiPriority w:val="9"/>
    <w:qFormat/>
    <w:rsid w:val="00623C9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dpis2">
    <w:name w:val="heading 2"/>
    <w:basedOn w:val="Normln"/>
    <w:next w:val="Normln"/>
    <w:link w:val="Nadpis2Char"/>
    <w:qFormat/>
    <w:rsid w:val="00623C9C"/>
    <w:pPr>
      <w:keepNext/>
      <w:ind w:firstLine="709"/>
      <w:jc w:val="both"/>
      <w:outlineLvl w:val="1"/>
    </w:pPr>
    <w:rPr>
      <w:b/>
      <w:bCs/>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2Char">
    <w:name w:val="Nadpis 2 Char"/>
    <w:basedOn w:val="Standardnpsmoodstavce"/>
    <w:link w:val="Nadpis2"/>
    <w:rsid w:val="00623C9C"/>
    <w:rPr>
      <w:rFonts w:ascii="Times New Roman" w:eastAsia="Times New Roman" w:hAnsi="Times New Roman" w:cs="Times New Roman"/>
      <w:b/>
      <w:bCs/>
      <w:sz w:val="24"/>
      <w:szCs w:val="24"/>
      <w:lang w:eastAsia="cs-CZ"/>
    </w:rPr>
  </w:style>
  <w:style w:type="paragraph" w:styleId="Zkladntext">
    <w:name w:val="Body Text"/>
    <w:basedOn w:val="Normln"/>
    <w:link w:val="ZkladntextChar"/>
    <w:semiHidden/>
    <w:rsid w:val="00623C9C"/>
    <w:pPr>
      <w:jc w:val="both"/>
    </w:pPr>
  </w:style>
  <w:style w:type="character" w:customStyle="1" w:styleId="ZkladntextChar">
    <w:name w:val="Základní text Char"/>
    <w:basedOn w:val="Standardnpsmoodstavce"/>
    <w:link w:val="Zkladntext"/>
    <w:semiHidden/>
    <w:rsid w:val="00623C9C"/>
    <w:rPr>
      <w:rFonts w:ascii="Times New Roman" w:eastAsia="Times New Roman" w:hAnsi="Times New Roman" w:cs="Times New Roman"/>
      <w:sz w:val="24"/>
      <w:szCs w:val="24"/>
      <w:lang w:eastAsia="cs-CZ"/>
    </w:rPr>
  </w:style>
  <w:style w:type="paragraph" w:styleId="Zhlav">
    <w:name w:val="header"/>
    <w:basedOn w:val="Normln"/>
    <w:link w:val="ZhlavChar"/>
    <w:uiPriority w:val="99"/>
    <w:unhideWhenUsed/>
    <w:rsid w:val="00623C9C"/>
    <w:pPr>
      <w:tabs>
        <w:tab w:val="center" w:pos="4536"/>
        <w:tab w:val="right" w:pos="9072"/>
      </w:tabs>
    </w:pPr>
  </w:style>
  <w:style w:type="character" w:customStyle="1" w:styleId="ZhlavChar">
    <w:name w:val="Záhlaví Char"/>
    <w:basedOn w:val="Standardnpsmoodstavce"/>
    <w:link w:val="Zhlav"/>
    <w:uiPriority w:val="99"/>
    <w:rsid w:val="00623C9C"/>
    <w:rPr>
      <w:rFonts w:ascii="Times New Roman" w:eastAsia="Times New Roman" w:hAnsi="Times New Roman" w:cs="Times New Roman"/>
      <w:sz w:val="24"/>
      <w:szCs w:val="24"/>
      <w:lang w:eastAsia="cs-CZ"/>
    </w:rPr>
  </w:style>
  <w:style w:type="paragraph" w:styleId="Zpat">
    <w:name w:val="footer"/>
    <w:basedOn w:val="Normln"/>
    <w:link w:val="ZpatChar"/>
    <w:uiPriority w:val="99"/>
    <w:unhideWhenUsed/>
    <w:rsid w:val="00623C9C"/>
    <w:pPr>
      <w:tabs>
        <w:tab w:val="center" w:pos="4536"/>
        <w:tab w:val="right" w:pos="9072"/>
      </w:tabs>
    </w:pPr>
  </w:style>
  <w:style w:type="character" w:customStyle="1" w:styleId="ZpatChar">
    <w:name w:val="Zápatí Char"/>
    <w:basedOn w:val="Standardnpsmoodstavce"/>
    <w:link w:val="Zpat"/>
    <w:uiPriority w:val="99"/>
    <w:rsid w:val="00623C9C"/>
    <w:rPr>
      <w:rFonts w:ascii="Times New Roman" w:eastAsia="Times New Roman" w:hAnsi="Times New Roman" w:cs="Times New Roman"/>
      <w:sz w:val="24"/>
      <w:szCs w:val="24"/>
      <w:lang w:eastAsia="cs-CZ"/>
    </w:rPr>
  </w:style>
  <w:style w:type="character" w:styleId="Hypertextovodkaz">
    <w:name w:val="Hyperlink"/>
    <w:basedOn w:val="Standardnpsmoodstavce"/>
    <w:uiPriority w:val="99"/>
    <w:unhideWhenUsed/>
    <w:rsid w:val="00623C9C"/>
    <w:rPr>
      <w:color w:val="0000FF" w:themeColor="hyperlink"/>
      <w:u w:val="single"/>
    </w:rPr>
  </w:style>
  <w:style w:type="paragraph" w:styleId="Textbubliny">
    <w:name w:val="Balloon Text"/>
    <w:basedOn w:val="Normln"/>
    <w:link w:val="TextbublinyChar"/>
    <w:uiPriority w:val="99"/>
    <w:semiHidden/>
    <w:unhideWhenUsed/>
    <w:rsid w:val="00623C9C"/>
    <w:rPr>
      <w:rFonts w:ascii="Tahoma" w:hAnsi="Tahoma" w:cs="Tahoma"/>
      <w:sz w:val="16"/>
      <w:szCs w:val="16"/>
    </w:rPr>
  </w:style>
  <w:style w:type="character" w:customStyle="1" w:styleId="TextbublinyChar">
    <w:name w:val="Text bubliny Char"/>
    <w:basedOn w:val="Standardnpsmoodstavce"/>
    <w:link w:val="Textbubliny"/>
    <w:uiPriority w:val="99"/>
    <w:semiHidden/>
    <w:rsid w:val="00623C9C"/>
    <w:rPr>
      <w:rFonts w:ascii="Tahoma" w:eastAsia="Times New Roman" w:hAnsi="Tahoma" w:cs="Tahoma"/>
      <w:sz w:val="16"/>
      <w:szCs w:val="16"/>
      <w:lang w:eastAsia="cs-CZ"/>
    </w:rPr>
  </w:style>
  <w:style w:type="character" w:customStyle="1" w:styleId="Nadpis1Char">
    <w:name w:val="Nadpis 1 Char"/>
    <w:basedOn w:val="Standardnpsmoodstavce"/>
    <w:link w:val="Nadpis1"/>
    <w:uiPriority w:val="9"/>
    <w:rsid w:val="00623C9C"/>
    <w:rPr>
      <w:rFonts w:asciiTheme="majorHAnsi" w:eastAsiaTheme="majorEastAsia" w:hAnsiTheme="majorHAnsi" w:cstheme="majorBidi"/>
      <w:b/>
      <w:bCs/>
      <w:color w:val="365F91" w:themeColor="accent1" w:themeShade="BF"/>
      <w:sz w:val="28"/>
      <w:szCs w:val="28"/>
      <w:lang w:eastAsia="cs-CZ"/>
    </w:rPr>
  </w:style>
</w:styles>
</file>

<file path=word/webSettings.xml><?xml version="1.0" encoding="utf-8"?>
<w:webSettings xmlns:r="http://schemas.openxmlformats.org/officeDocument/2006/relationships" xmlns:w="http://schemas.openxmlformats.org/wordprocessingml/2006/main">
  <w:divs>
    <w:div w:id="8392764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zemepis.com/migracecr.php" TargetMode="External"/><Relationship Id="rId3" Type="http://schemas.openxmlformats.org/officeDocument/2006/relationships/settings" Target="settings.xml"/><Relationship Id="rId7" Type="http://schemas.openxmlformats.org/officeDocument/2006/relationships/hyperlink" Target="http://cs.wikipedia.org/wiki/Migrace"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9</Pages>
  <Words>771</Words>
  <Characters>4551</Characters>
  <Application>Microsoft Office Word</Application>
  <DocSecurity>0</DocSecurity>
  <Lines>37</Lines>
  <Paragraphs>10</Paragraphs>
  <ScaleCrop>false</ScaleCrop>
  <Company>Hewlett-Packard Company</Company>
  <LinksUpToDate>false</LinksUpToDate>
  <CharactersWithSpaces>5312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Jaroslava Hypiusová</dc:creator>
  <cp:lastModifiedBy>Dum</cp:lastModifiedBy>
  <cp:revision>2</cp:revision>
  <cp:lastPrinted>2014-04-18T08:06:00Z</cp:lastPrinted>
  <dcterms:created xsi:type="dcterms:W3CDTF">2014-06-05T16:51:00Z</dcterms:created>
  <dcterms:modified xsi:type="dcterms:W3CDTF">2014-06-05T16:51:00Z</dcterms:modified>
</cp:coreProperties>
</file>