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9228FB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F63BAD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8A64ED" w:rsidP="00E2102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Menšiny v ČR</w:t>
            </w:r>
            <w:r w:rsidR="009228F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II.</w:t>
            </w:r>
            <w:r w:rsidR="009228FB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 w:rsidR="009228F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="009228FB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9228F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06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8A64ED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E2102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8A64ED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Národnostní menšiny v ČR.</w:t>
            </w:r>
          </w:p>
        </w:tc>
      </w:tr>
      <w:tr w:rsidR="009228F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28FB" w:rsidRPr="008936DA" w:rsidRDefault="009228FB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9228FB" w:rsidRDefault="009228FB"/>
    <w:p w:rsidR="009228FB" w:rsidRDefault="009228FB" w:rsidP="009228FB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9228FB" w:rsidRPr="00834055" w:rsidRDefault="009228FB" w:rsidP="009228F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>vymezuje statut národnostní menšiny v ČR, Radu vlády pro národnostní menšiny, Práva příslušníků národnostních menšin.</w:t>
      </w:r>
    </w:p>
    <w:p w:rsidR="009228FB" w:rsidRDefault="009228FB"/>
    <w:p w:rsidR="009228FB" w:rsidRDefault="009228FB">
      <w:pP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br w:type="page"/>
      </w:r>
    </w:p>
    <w:p w:rsidR="009228FB" w:rsidRPr="00FD032C" w:rsidRDefault="009228FB" w:rsidP="009228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Statut národnostní menšiny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má zásadní význam pro postavení příslušníků národnostních menšin - jak po stránce legislativní, tak po stránce kulturní a společenské. </w:t>
      </w:r>
      <w:r w:rsidRPr="00FD032C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t>Statut národnostní menšiny byl prozatím přiznán dvanácti menšinám: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bulharské, chorvatské, maďarské, německé, polské, romské, rusínské, ruské, řecké, slovenské, srbské a ukrajinské. Některé národnostní menšiny v ČR ovšem ochranu požívají také na základě mezistátních bilaterálních smluv a dohod. </w:t>
      </w:r>
    </w:p>
    <w:p w:rsidR="009228FB" w:rsidRDefault="009228FB" w:rsidP="009228F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Institucionální zajištění práv národnostních menšin</w:t>
      </w: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.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Vláda ČR menšinovým zákonem ustavila jako svůj poradní a iniciační orgán pro otázky týkající se národnostních menšin </w:t>
      </w: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Radu vlády pro národnostní menšiny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(2001).</w:t>
      </w:r>
      <w:r w:rsidRPr="00FD032C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 xml:space="preserve"> </w:t>
      </w:r>
    </w:p>
    <w:p w:rsidR="009228FB" w:rsidRPr="00FD032C" w:rsidRDefault="009228FB" w:rsidP="009228F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O rok později vydala předpisy o poskytování dotací na aktivity národnostních menšin (s účinností od 15. 4. 2002). Aktuálně platný </w:t>
      </w: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Statut Rady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byl schválen 15. 6. 2005.</w:t>
      </w:r>
    </w:p>
    <w:p w:rsidR="009228FB" w:rsidRPr="00FD032C" w:rsidRDefault="009228FB" w:rsidP="009228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</w:p>
    <w:p w:rsidR="009228FB" w:rsidRPr="00FD032C" w:rsidRDefault="009228FB" w:rsidP="009228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 xml:space="preserve">Členy </w:t>
      </w: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u w:val="single"/>
          <w:lang w:eastAsia="cs-CZ"/>
        </w:rPr>
        <w:t>Rady vlády pro národnostní menšiny</w:t>
      </w:r>
      <w:r w:rsidRPr="00FD032C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 xml:space="preserve"> jsou zástupci na úrovni:</w:t>
      </w:r>
    </w:p>
    <w:p w:rsidR="009228FB" w:rsidRPr="00FD032C" w:rsidRDefault="009228FB" w:rsidP="009228FB">
      <w:pPr>
        <w:pStyle w:val="Odstavecseseznamem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náměstků ministrů Ministerstva financí, </w:t>
      </w:r>
    </w:p>
    <w:p w:rsidR="009228FB" w:rsidRPr="002D2FFB" w:rsidRDefault="009228FB" w:rsidP="009228FB">
      <w:pPr>
        <w:pStyle w:val="Odstavecseseznamem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2D2FFB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Ministerstva kultury, Ministerstva školství, mládeže a tělovýchovy, </w:t>
      </w:r>
    </w:p>
    <w:p w:rsidR="009228FB" w:rsidRPr="00FD032C" w:rsidRDefault="009228FB" w:rsidP="009228FB">
      <w:pPr>
        <w:pStyle w:val="Odstavecseseznamem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Ministerstva práce a sociálních věcí, </w:t>
      </w:r>
    </w:p>
    <w:p w:rsidR="009228FB" w:rsidRPr="00FD032C" w:rsidRDefault="009228FB" w:rsidP="009228FB">
      <w:pPr>
        <w:pStyle w:val="Odstavecseseznamem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Ministerstva vnitra, Ministerstva spravedlnosti, </w:t>
      </w:r>
    </w:p>
    <w:p w:rsidR="009228FB" w:rsidRPr="00FD032C" w:rsidRDefault="009228FB" w:rsidP="009228FB">
      <w:pPr>
        <w:pStyle w:val="Odstavecseseznamem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Ministerstva zahraničních věcí, zástupce Kanceláře prezidenta republiky, </w:t>
      </w:r>
    </w:p>
    <w:p w:rsidR="009228FB" w:rsidRPr="00FD032C" w:rsidRDefault="009228FB" w:rsidP="009228FB">
      <w:pPr>
        <w:pStyle w:val="Odstavecseseznamem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Veřejného ochránce práv, zmocněnec vlády pro lidská </w:t>
      </w:r>
      <w:proofErr w:type="gramStart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práva,  náměstek</w:t>
      </w:r>
      <w:proofErr w:type="gramEnd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člena vlády </w:t>
      </w:r>
    </w:p>
    <w:p w:rsidR="009228FB" w:rsidRPr="00FD032C" w:rsidRDefault="009228FB" w:rsidP="009228FB">
      <w:pPr>
        <w:pStyle w:val="Odstavecseseznamem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a celkem 19 zástupců dvanácti národnostních menšin (po 1 až 3 s ohledem na početnost menšiny a jejího historického a současného postavení - Poláci, Romové, Slováci po třech, Němci dva). </w:t>
      </w:r>
    </w:p>
    <w:p w:rsidR="009228FB" w:rsidRDefault="009228FB" w:rsidP="009228FB">
      <w:pPr>
        <w:pStyle w:val="Odstavecseseznamem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9228FB" w:rsidRDefault="009228FB" w:rsidP="009228FB">
      <w:pPr>
        <w:pStyle w:val="Odstavecseseznamem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Zástupci národnostních menšin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pak mají své zastoupení i v </w:t>
      </w: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poradním sboru Ministerstva kultury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pro národnostní kulturu a v poradním sboru Ministerstva školství, mládeže a tělovýchovy pro národní menšinové školství. </w:t>
      </w:r>
    </w:p>
    <w:p w:rsidR="009228FB" w:rsidRPr="00FD032C" w:rsidRDefault="009228FB" w:rsidP="009228FB">
      <w:pPr>
        <w:pStyle w:val="Odstavecseseznamem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Zástupci národnostních menšin se tak přímo účastní i práce na výběrových dotačních akcích, které jsou ze státního rozpočtu určeny menšinám. </w:t>
      </w:r>
    </w:p>
    <w:p w:rsidR="009228FB" w:rsidRPr="00FD032C" w:rsidRDefault="009228FB" w:rsidP="009228F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Na úrovni místní samosprávy jsou zřizovány </w:t>
      </w: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Výbory pro národnostní menšiny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, pokud občané obce hlásících se k jiné než české národnosti dosáhnou stanoveného procenta. V kterékoli obci, bez ohledu na zastoupení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menšinového obyvatelstva, mohou být v případě potřeby zřizovány Komise pro národnostní menšiny. Takovéto komise pracují např. v Praze, Liberci, Mostě.</w:t>
      </w:r>
    </w:p>
    <w:p w:rsidR="009228FB" w:rsidRPr="00FD032C" w:rsidRDefault="009228FB" w:rsidP="009228F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Příslušníci národnostních menšin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mohou zřizovat své organizace bez omezení. Tyto organizace vesměs fungují jako občanská sdružení, která svou činnost vyvíjejí jako nestátní neziskové organizace. Pouze některé národnostní menšiny zakládají i obecně prospěšné společnosti nebo nadace. </w:t>
      </w:r>
    </w:p>
    <w:p w:rsidR="009228FB" w:rsidRPr="00FD032C" w:rsidRDefault="009228FB" w:rsidP="009228F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Na národnostním principu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byly založeny i politické strany a politická hnutí, vesměs ovšem s krátkodobou existencí a formálním působením (s výjimkou Romské občanské iniciativy a Politického hnutí </w:t>
      </w:r>
      <w:proofErr w:type="spellStart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Coexistentia</w:t>
      </w:r>
      <w:proofErr w:type="spellEnd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-Soužití, které se prosadilo na komunální úrovni v okresech </w:t>
      </w:r>
      <w:proofErr w:type="spellStart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Frýdek</w:t>
      </w:r>
      <w:proofErr w:type="spellEnd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-Místek a Karviná). </w:t>
      </w:r>
    </w:p>
    <w:p w:rsidR="009228FB" w:rsidRPr="00FD032C" w:rsidRDefault="009228FB" w:rsidP="009228FB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u w:val="single"/>
          <w:lang w:eastAsia="cs-CZ"/>
        </w:rPr>
        <w:lastRenderedPageBreak/>
        <w:t>Práva příslušníků národnostních menšin</w:t>
      </w:r>
      <w:r w:rsidRPr="00FD032C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t xml:space="preserve">. Menšinový zákon zaručuje příslušníkům národnostních menšin tato základní práva: 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Právo na svobodnou volbu příslušnosti k národnostní menšině, za kterou nesmějí být diskriminováni. Orgány veřejné správy nevedou evidenci o národnosti a tedy ani o příslušnosti k menšině. 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Právo na sdružování v národnostních sdruženích, v politických stranách a v politických hnutích. 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Právo účasti na řešení záležitostí národnostní menšiny. Toto právo příslušníci národnostních menšin vykonávají prostřednictvím výborů pro národnostní menšiny a Rady vlády pro národnostní menšiny.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Právo na užívání jména a příjmení v jazyce národnostní menšiny.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Právo na zachování, rozvoj a respektování kultury, tradic a jazyka národnostních menšin. Pro tento rozvoj vytváří stát podmínky a podporuje programy zaměřené na divadla, muzea, galerie, knihovny, dokumentační a další kulturní a společenskou činnost národnostních menšin. 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Právo na šíření a přijímání informací v jazyce národnostní menšiny. Stát podporuje vydávání periodického i neperiodického tisku, a také rozhlasové vysílání v jazycích národnostních menšin, které </w:t>
      </w: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„tradičně a dlouhodobě"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žijí na území ČR.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Národnostní menšiny, které </w:t>
      </w: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„tradičně a dlouhodobě"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žijí na území ČR, mají právo na výchovu a vzdělávání v mateřském jazyce ve školách, v předškolních zařízeních a školských zařízeních - za podmínek, které stanoví právní předpisy.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Tyto menšiny mohou také zřizovat soukromé školy s vyučovacím jazykem menšiny, soukromá předškolní a školská zařízení.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Národnostní menšiny, které </w:t>
      </w: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„tradičně a dlouhodobě"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žijí na území ČR, mají právo, aby názvy obcí, v nichž žijí, a také názvy ulic, veřejných prostranství, budov a dalších objektů byly uvedeny vedle češtiny i v jazyce menšiny.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Národnostní menšiny, které </w:t>
      </w: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„tradičně a dlouhodobě"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žijí na území ČR, mají právo na užívání jazyka národnostní menšiny v úředním styku a před soudy. </w:t>
      </w:r>
    </w:p>
    <w:p w:rsidR="009228FB" w:rsidRPr="00FD032C" w:rsidRDefault="009228FB" w:rsidP="009228FB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Národnostní menšiny, které </w:t>
      </w:r>
      <w:r w:rsidRPr="002D2FFB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„tradičně a dlouhodobě"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žijí na území ČR, mají právo na zveřejnění oznámení o době a místě konání voleb a další informace pro voliče v jazyce národnostních menšin.</w:t>
      </w:r>
    </w:p>
    <w:p w:rsidR="009228FB" w:rsidRPr="00FD032C" w:rsidRDefault="009228FB" w:rsidP="009228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 Speciální zákony pak upravují účast příslušníků národnostních menšin na řešení věcí, které se jich týkají, užívání mateřského jazyka ve veřejném životě,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rozšiřování a přijímání informací v jazyce národnostních menšin, vzdělávání se v jazyce národnostních menšin, uchovávání a rozvoje kultury národnostních menšin a zákazu diskriminace.</w:t>
      </w:r>
    </w:p>
    <w:p w:rsidR="009228FB" w:rsidRPr="00FD032C" w:rsidRDefault="009228FB" w:rsidP="009228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9228FB" w:rsidRPr="00FD032C" w:rsidRDefault="009228FB" w:rsidP="009228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9228FB" w:rsidRPr="00FD032C" w:rsidRDefault="009228FB" w:rsidP="009228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9228FB" w:rsidRDefault="009228FB" w:rsidP="009228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9228FB" w:rsidRDefault="009228FB" w:rsidP="009228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9228FB" w:rsidRDefault="009228FB" w:rsidP="009228FB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9228FB" w:rsidRDefault="009228FB" w:rsidP="009228FB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9228FB" w:rsidRDefault="009228FB">
      <w:pP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br w:type="page"/>
      </w:r>
    </w:p>
    <w:p w:rsidR="009228FB" w:rsidRPr="00FD032C" w:rsidRDefault="009228FB" w:rsidP="009228FB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>Použité zdroje:</w:t>
      </w:r>
    </w:p>
    <w:p w:rsidR="009228FB" w:rsidRPr="00FD032C" w:rsidRDefault="009228FB" w:rsidP="009228FB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B62C6F" w:rsidRDefault="009228FB" w:rsidP="009228F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228FB">
        <w:rPr>
          <w:rFonts w:ascii="Times New Roman" w:hAnsi="Times New Roman" w:cs="Times New Roman"/>
          <w:sz w:val="44"/>
          <w:szCs w:val="44"/>
        </w:rPr>
        <w:t>S</w:t>
      </w:r>
      <w:r>
        <w:rPr>
          <w:rFonts w:ascii="Times New Roman" w:hAnsi="Times New Roman" w:cs="Times New Roman"/>
          <w:sz w:val="44"/>
          <w:szCs w:val="44"/>
        </w:rPr>
        <w:t>EDUKON</w:t>
      </w:r>
      <w:r w:rsidRPr="009228FB">
        <w:rPr>
          <w:rFonts w:ascii="Times New Roman" w:hAnsi="Times New Roman" w:cs="Times New Roman"/>
          <w:sz w:val="44"/>
          <w:szCs w:val="44"/>
        </w:rPr>
        <w:t xml:space="preserve">, o. p. s., </w:t>
      </w:r>
      <w:r w:rsidRPr="009228FB">
        <w:rPr>
          <w:rFonts w:ascii="Times New Roman" w:hAnsi="Times New Roman" w:cs="Times New Roman"/>
          <w:i/>
          <w:sz w:val="44"/>
          <w:szCs w:val="44"/>
        </w:rPr>
        <w:t>Národnostní menšiny.</w:t>
      </w:r>
      <w:r w:rsidRPr="009228FB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9228FB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9228FB">
        <w:rPr>
          <w:rFonts w:ascii="Times New Roman" w:hAnsi="Times New Roman" w:cs="Times New Roman"/>
          <w:sz w:val="44"/>
          <w:szCs w:val="44"/>
        </w:rPr>
        <w:t xml:space="preserve">. [cit. </w:t>
      </w:r>
      <w:r w:rsidR="00B62C6F">
        <w:rPr>
          <w:rFonts w:ascii="Times New Roman" w:hAnsi="Times New Roman" w:cs="Times New Roman"/>
          <w:sz w:val="44"/>
          <w:szCs w:val="44"/>
        </w:rPr>
        <w:t>2</w:t>
      </w:r>
      <w:r w:rsidRPr="009228FB">
        <w:rPr>
          <w:rFonts w:ascii="Times New Roman" w:hAnsi="Times New Roman" w:cs="Times New Roman"/>
          <w:sz w:val="44"/>
          <w:szCs w:val="44"/>
        </w:rPr>
        <w:t xml:space="preserve">6. </w:t>
      </w:r>
      <w:r w:rsidR="00B62C6F">
        <w:rPr>
          <w:rFonts w:ascii="Times New Roman" w:hAnsi="Times New Roman" w:cs="Times New Roman"/>
          <w:sz w:val="44"/>
          <w:szCs w:val="44"/>
        </w:rPr>
        <w:t>11</w:t>
      </w:r>
      <w:r w:rsidRPr="009228FB">
        <w:rPr>
          <w:rFonts w:ascii="Times New Roman" w:hAnsi="Times New Roman" w:cs="Times New Roman"/>
          <w:sz w:val="44"/>
          <w:szCs w:val="44"/>
        </w:rPr>
        <w:t>. 201</w:t>
      </w:r>
      <w:r w:rsidR="00B62C6F">
        <w:rPr>
          <w:rFonts w:ascii="Times New Roman" w:hAnsi="Times New Roman" w:cs="Times New Roman"/>
          <w:sz w:val="44"/>
          <w:szCs w:val="44"/>
        </w:rPr>
        <w:t>3</w:t>
      </w:r>
      <w:r w:rsidRPr="009228FB">
        <w:rPr>
          <w:rFonts w:ascii="Times New Roman" w:hAnsi="Times New Roman" w:cs="Times New Roman"/>
          <w:sz w:val="44"/>
          <w:szCs w:val="44"/>
        </w:rPr>
        <w:t xml:space="preserve"> v 19, 06 hod.]. </w:t>
      </w:r>
    </w:p>
    <w:p w:rsidR="009228FB" w:rsidRPr="009228FB" w:rsidRDefault="009228FB" w:rsidP="009228FB">
      <w:pPr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r w:rsidRPr="009228FB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Pr="009228FB">
          <w:rPr>
            <w:rStyle w:val="Hypertextovodkaz"/>
            <w:rFonts w:ascii="Times New Roman" w:eastAsia="Times New Roman" w:hAnsi="Times New Roman" w:cs="Times New Roman"/>
            <w:b/>
            <w:bCs/>
            <w:sz w:val="44"/>
            <w:szCs w:val="44"/>
            <w:u w:val="single"/>
            <w:lang w:eastAsia="cs-CZ"/>
          </w:rPr>
          <w:t>http://www.multikulturazlin.cz/l.php?id=2</w:t>
        </w:r>
      </w:hyperlink>
      <w:r w:rsidRPr="009228FB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&gt;.</w:t>
      </w:r>
    </w:p>
    <w:p w:rsidR="009228FB" w:rsidRPr="009228FB" w:rsidRDefault="009228FB" w:rsidP="009228FB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9228FB">
        <w:rPr>
          <w:rStyle w:val="Zvraznn"/>
          <w:rFonts w:ascii="Times New Roman" w:hAnsi="Times New Roman" w:cs="Times New Roman"/>
          <w:color w:val="333333"/>
          <w:sz w:val="44"/>
          <w:szCs w:val="44"/>
        </w:rPr>
        <w:t xml:space="preserve">Zdroje: </w:t>
      </w:r>
      <w:hyperlink r:id="rId8" w:history="1">
        <w:r w:rsidRPr="009228FB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t>www.icm.cz</w:t>
        </w:r>
      </w:hyperlink>
      <w:r w:rsidRPr="009228FB">
        <w:rPr>
          <w:rStyle w:val="Zvraznn"/>
          <w:rFonts w:ascii="Times New Roman" w:hAnsi="Times New Roman" w:cs="Times New Roman"/>
          <w:color w:val="333333"/>
          <w:sz w:val="44"/>
          <w:szCs w:val="44"/>
        </w:rPr>
        <w:t>, Zákon o právech příslušníků národnostních menšin č. 273/2001 Sb. (§1), dostupný z </w:t>
      </w:r>
      <w:hyperlink r:id="rId9" w:history="1">
        <w:r w:rsidRPr="009228FB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t>http://portal</w:t>
        </w:r>
        <w:r w:rsidRPr="009228FB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softHyphen/>
          <w:t>.gov.cz/…downlo</w:t>
        </w:r>
        <w:r w:rsidRPr="009228FB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softHyphen/>
          <w:t>ad.jsp?…</w:t>
        </w:r>
      </w:hyperlink>
    </w:p>
    <w:p w:rsidR="009228FB" w:rsidRPr="009228FB" w:rsidRDefault="009228FB" w:rsidP="009228FB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9228FB" w:rsidRDefault="009228FB" w:rsidP="009228FB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</w:pPr>
      <w:r w:rsidRPr="009228FB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Národní informační centrum pro mládež</w:t>
      </w:r>
      <w:r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. </w:t>
      </w:r>
    </w:p>
    <w:p w:rsidR="00B62C6F" w:rsidRDefault="009228FB" w:rsidP="009228FB">
      <w:pPr>
        <w:shd w:val="clear" w:color="auto" w:fill="FFFFFF"/>
        <w:spacing w:after="0" w:line="320" w:lineRule="atLeast"/>
        <w:rPr>
          <w:rFonts w:ascii="Times New Roman" w:hAnsi="Times New Roman" w:cs="Times New Roman"/>
          <w:sz w:val="44"/>
          <w:szCs w:val="44"/>
        </w:rPr>
      </w:pPr>
      <w:r w:rsidRPr="009228FB">
        <w:rPr>
          <w:rStyle w:val="Zvraznn"/>
          <w:rFonts w:ascii="Times New Roman" w:hAnsi="Times New Roman" w:cs="Times New Roman"/>
          <w:i w:val="0"/>
          <w:sz w:val="44"/>
          <w:szCs w:val="44"/>
        </w:rPr>
        <w:t>ŽEMLIČKOVÁ, G.</w:t>
      </w:r>
      <w:r w:rsidRPr="009228FB">
        <w:rPr>
          <w:rStyle w:val="Zvraznn"/>
          <w:rFonts w:ascii="Times New Roman" w:hAnsi="Times New Roman" w:cs="Times New Roman"/>
          <w:sz w:val="44"/>
          <w:szCs w:val="44"/>
        </w:rPr>
        <w:t xml:space="preserve"> </w:t>
      </w:r>
      <w:r w:rsidRPr="009228FB">
        <w:rPr>
          <w:rFonts w:ascii="Times New Roman" w:hAnsi="Times New Roman" w:cs="Times New Roman"/>
          <w:i/>
          <w:sz w:val="44"/>
          <w:szCs w:val="44"/>
        </w:rPr>
        <w:t>Menšiny - základní informace.</w:t>
      </w:r>
      <w:r w:rsidRPr="009228FB">
        <w:rPr>
          <w:rFonts w:ascii="Times New Roman" w:hAnsi="Times New Roman" w:cs="Times New Roman"/>
          <w:sz w:val="44"/>
          <w:szCs w:val="44"/>
        </w:rPr>
        <w:t xml:space="preserve">[online]. </w:t>
      </w:r>
    </w:p>
    <w:p w:rsidR="009228FB" w:rsidRPr="009228FB" w:rsidRDefault="009228FB" w:rsidP="009228FB">
      <w:pPr>
        <w:shd w:val="clear" w:color="auto" w:fill="FFFFFF"/>
        <w:spacing w:after="0" w:line="320" w:lineRule="atLeast"/>
        <w:rPr>
          <w:rFonts w:ascii="Times New Roman" w:hAnsi="Times New Roman" w:cs="Times New Roman"/>
          <w:sz w:val="44"/>
          <w:szCs w:val="44"/>
        </w:rPr>
      </w:pPr>
      <w:proofErr w:type="spellStart"/>
      <w:r w:rsidRPr="009228FB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9228FB">
        <w:rPr>
          <w:rFonts w:ascii="Times New Roman" w:hAnsi="Times New Roman" w:cs="Times New Roman"/>
          <w:sz w:val="44"/>
          <w:szCs w:val="44"/>
        </w:rPr>
        <w:t xml:space="preserve">. [cit. </w:t>
      </w:r>
      <w:r w:rsidR="00B62C6F">
        <w:rPr>
          <w:rFonts w:ascii="Times New Roman" w:hAnsi="Times New Roman" w:cs="Times New Roman"/>
          <w:sz w:val="44"/>
          <w:szCs w:val="44"/>
        </w:rPr>
        <w:t>2</w:t>
      </w:r>
      <w:r w:rsidRPr="009228FB">
        <w:rPr>
          <w:rFonts w:ascii="Times New Roman" w:hAnsi="Times New Roman" w:cs="Times New Roman"/>
          <w:sz w:val="44"/>
          <w:szCs w:val="44"/>
        </w:rPr>
        <w:t xml:space="preserve">6. </w:t>
      </w:r>
      <w:r w:rsidR="00B62C6F">
        <w:rPr>
          <w:rFonts w:ascii="Times New Roman" w:hAnsi="Times New Roman" w:cs="Times New Roman"/>
          <w:sz w:val="44"/>
          <w:szCs w:val="44"/>
        </w:rPr>
        <w:t>11</w:t>
      </w:r>
      <w:r w:rsidRPr="009228FB">
        <w:rPr>
          <w:rFonts w:ascii="Times New Roman" w:hAnsi="Times New Roman" w:cs="Times New Roman"/>
          <w:sz w:val="44"/>
          <w:szCs w:val="44"/>
        </w:rPr>
        <w:t>. 201</w:t>
      </w:r>
      <w:r w:rsidR="00B62C6F">
        <w:rPr>
          <w:rFonts w:ascii="Times New Roman" w:hAnsi="Times New Roman" w:cs="Times New Roman"/>
          <w:sz w:val="44"/>
          <w:szCs w:val="44"/>
        </w:rPr>
        <w:t>3</w:t>
      </w:r>
      <w:r w:rsidRPr="009228FB">
        <w:rPr>
          <w:rFonts w:ascii="Times New Roman" w:hAnsi="Times New Roman" w:cs="Times New Roman"/>
          <w:sz w:val="44"/>
          <w:szCs w:val="44"/>
        </w:rPr>
        <w:t xml:space="preserve"> v 19, 21hod.]. </w:t>
      </w:r>
    </w:p>
    <w:p w:rsidR="009228FB" w:rsidRPr="009228FB" w:rsidRDefault="009228FB" w:rsidP="00B62C6F">
      <w:pPr>
        <w:spacing w:after="0"/>
        <w:rPr>
          <w:rStyle w:val="mw-headline"/>
          <w:rFonts w:ascii="Times New Roman" w:hAnsi="Times New Roman" w:cs="Times New Roman"/>
          <w:sz w:val="44"/>
          <w:szCs w:val="44"/>
          <w:u w:val="single"/>
        </w:rPr>
      </w:pPr>
      <w:r w:rsidRPr="009228FB">
        <w:rPr>
          <w:rFonts w:ascii="Times New Roman" w:hAnsi="Times New Roman" w:cs="Times New Roman"/>
          <w:sz w:val="44"/>
          <w:szCs w:val="44"/>
        </w:rPr>
        <w:t>Dostupný na WWW: &lt;</w:t>
      </w:r>
      <w:hyperlink r:id="rId10" w:history="1">
        <w:r w:rsidRPr="009228FB">
          <w:rPr>
            <w:rStyle w:val="Hypertextovodkaz"/>
            <w:rFonts w:ascii="Times New Roman" w:hAnsi="Times New Roman" w:cs="Times New Roman"/>
            <w:sz w:val="44"/>
            <w:szCs w:val="44"/>
            <w:u w:val="single"/>
          </w:rPr>
          <w:t>http://www.nicm.cz/mensiny-zakladni-informace</w:t>
        </w:r>
      </w:hyperlink>
      <w:r w:rsidRPr="009228FB">
        <w:rPr>
          <w:rFonts w:ascii="Times New Roman" w:hAnsi="Times New Roman" w:cs="Times New Roman"/>
          <w:sz w:val="44"/>
          <w:szCs w:val="44"/>
        </w:rPr>
        <w:t>&gt;.</w:t>
      </w:r>
    </w:p>
    <w:p w:rsidR="0035592E" w:rsidRDefault="0035592E"/>
    <w:sectPr w:rsidR="0035592E" w:rsidSect="009228FB">
      <w:headerReference w:type="default" r:id="rId11"/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9AE" w:rsidRDefault="004719AE" w:rsidP="009228FB">
      <w:pPr>
        <w:spacing w:after="0" w:line="240" w:lineRule="auto"/>
      </w:pPr>
      <w:r>
        <w:separator/>
      </w:r>
    </w:p>
  </w:endnote>
  <w:endnote w:type="continuationSeparator" w:id="0">
    <w:p w:rsidR="004719AE" w:rsidRDefault="004719AE" w:rsidP="0092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6939"/>
      <w:docPartObj>
        <w:docPartGallery w:val="Page Numbers (Bottom of Page)"/>
        <w:docPartUnique/>
      </w:docPartObj>
    </w:sdtPr>
    <w:sdtContent>
      <w:p w:rsidR="009228FB" w:rsidRDefault="00E15086">
        <w:pPr>
          <w:pStyle w:val="Zpat"/>
          <w:jc w:val="center"/>
        </w:pPr>
        <w:fldSimple w:instr=" PAGE   \* MERGEFORMAT ">
          <w:r w:rsidR="00E21021">
            <w:rPr>
              <w:noProof/>
            </w:rPr>
            <w:t>1</w:t>
          </w:r>
        </w:fldSimple>
      </w:p>
    </w:sdtContent>
  </w:sdt>
  <w:p w:rsidR="009228FB" w:rsidRDefault="009228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9AE" w:rsidRDefault="004719AE" w:rsidP="009228FB">
      <w:pPr>
        <w:spacing w:after="0" w:line="240" w:lineRule="auto"/>
      </w:pPr>
      <w:r>
        <w:separator/>
      </w:r>
    </w:p>
  </w:footnote>
  <w:footnote w:type="continuationSeparator" w:id="0">
    <w:p w:rsidR="004719AE" w:rsidRDefault="004719AE" w:rsidP="0092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FB" w:rsidRDefault="009228FB" w:rsidP="009228FB">
    <w:pPr>
      <w:pStyle w:val="Zhlav"/>
      <w:jc w:val="center"/>
    </w:pPr>
    <w:r w:rsidRPr="009228FB">
      <w:rPr>
        <w:noProof/>
        <w:lang w:eastAsia="cs-CZ"/>
      </w:rPr>
      <w:drawing>
        <wp:inline distT="0" distB="0" distL="0" distR="0">
          <wp:extent cx="5895975" cy="1457325"/>
          <wp:effectExtent l="19050" t="0" r="9525" b="0"/>
          <wp:docPr id="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555E62"/>
    <w:multiLevelType w:val="multilevel"/>
    <w:tmpl w:val="24C0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E461404"/>
    <w:multiLevelType w:val="hybridMultilevel"/>
    <w:tmpl w:val="3356EB8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8FB"/>
    <w:rsid w:val="000156C4"/>
    <w:rsid w:val="0035592E"/>
    <w:rsid w:val="00460C7C"/>
    <w:rsid w:val="004719AE"/>
    <w:rsid w:val="005D31F4"/>
    <w:rsid w:val="008824D0"/>
    <w:rsid w:val="008A64ED"/>
    <w:rsid w:val="00915D71"/>
    <w:rsid w:val="009228FB"/>
    <w:rsid w:val="009C4698"/>
    <w:rsid w:val="00A04342"/>
    <w:rsid w:val="00A21FA9"/>
    <w:rsid w:val="00B62C6F"/>
    <w:rsid w:val="00E15086"/>
    <w:rsid w:val="00E21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592E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28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9228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9228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228FB"/>
    <w:rPr>
      <w:strike w:val="0"/>
      <w:dstrike w:val="0"/>
      <w:color w:val="00AEEF"/>
      <w:u w:val="none"/>
      <w:effect w:val="none"/>
    </w:rPr>
  </w:style>
  <w:style w:type="character" w:customStyle="1" w:styleId="mw-headline">
    <w:name w:val="mw-headline"/>
    <w:basedOn w:val="Standardnpsmoodstavce"/>
    <w:rsid w:val="009228FB"/>
  </w:style>
  <w:style w:type="character" w:styleId="Zvraznn">
    <w:name w:val="Emphasis"/>
    <w:basedOn w:val="Standardnpsmoodstavce"/>
    <w:uiPriority w:val="20"/>
    <w:qFormat/>
    <w:rsid w:val="009228FB"/>
    <w:rPr>
      <w:i/>
      <w:iCs/>
    </w:rPr>
  </w:style>
  <w:style w:type="character" w:styleId="Siln">
    <w:name w:val="Strong"/>
    <w:basedOn w:val="Standardnpsmoodstavce"/>
    <w:uiPriority w:val="22"/>
    <w:qFormat/>
    <w:rsid w:val="009228FB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2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228FB"/>
  </w:style>
  <w:style w:type="paragraph" w:styleId="Zpat">
    <w:name w:val="footer"/>
    <w:basedOn w:val="Normln"/>
    <w:link w:val="ZpatChar"/>
    <w:uiPriority w:val="99"/>
    <w:unhideWhenUsed/>
    <w:rsid w:val="0092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28FB"/>
  </w:style>
  <w:style w:type="paragraph" w:styleId="Textbubliny">
    <w:name w:val="Balloon Text"/>
    <w:basedOn w:val="Normln"/>
    <w:link w:val="TextbublinyChar"/>
    <w:uiPriority w:val="99"/>
    <w:semiHidden/>
    <w:unhideWhenUsed/>
    <w:rsid w:val="00922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28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m.cz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ultikulturazlin.cz/l.php?id=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nicm.cz/mensiny-zakladni-informa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rtal.gov.cz/wps/WPS_PA_2001/jsp/download.jsp?s=1&amp;l=273%2F200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948</Words>
  <Characters>5597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6</cp:revision>
  <dcterms:created xsi:type="dcterms:W3CDTF">2014-03-24T19:38:00Z</dcterms:created>
  <dcterms:modified xsi:type="dcterms:W3CDTF">2014-04-25T11:34:00Z</dcterms:modified>
</cp:coreProperties>
</file>