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717EC2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F63BAD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F06F67" w:rsidP="00984BC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MPSV I.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</w:t>
            </w:r>
            <w:r w:rsidR="00717EC2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</w:t>
            </w:r>
            <w:r w:rsidR="00717EC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="00717EC2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717EC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17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F06F6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Sociální péče pro 4. ročník SOŠ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984BCD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717EC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F06F67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Kompetence ČSSZ</w:t>
            </w:r>
            <w:r w:rsidR="0090598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a UP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717EC2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EC2" w:rsidRPr="008936DA" w:rsidRDefault="00717EC2" w:rsidP="004B381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717EC2" w:rsidRDefault="00717EC2">
      <w:pPr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cs-CZ"/>
        </w:rPr>
      </w:pPr>
    </w:p>
    <w:p w:rsidR="00717EC2" w:rsidRDefault="00717EC2" w:rsidP="00717EC2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cs-CZ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717EC2" w:rsidRDefault="00717EC2" w:rsidP="00717EC2">
      <w:pPr>
        <w:spacing w:after="0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kompetence </w:t>
      </w:r>
      <w:r w:rsidRPr="00717EC2">
        <w:rPr>
          <w:rFonts w:ascii="Times New Roman" w:hAnsi="Times New Roman" w:cs="Times New Roman"/>
          <w:bCs/>
          <w:sz w:val="44"/>
          <w:szCs w:val="44"/>
        </w:rPr>
        <w:t>Česk</w:t>
      </w:r>
      <w:r>
        <w:rPr>
          <w:rFonts w:ascii="Times New Roman" w:hAnsi="Times New Roman" w:cs="Times New Roman"/>
          <w:bCs/>
          <w:sz w:val="44"/>
          <w:szCs w:val="44"/>
        </w:rPr>
        <w:t>é</w:t>
      </w:r>
      <w:r w:rsidRPr="00717EC2">
        <w:rPr>
          <w:rFonts w:ascii="Times New Roman" w:hAnsi="Times New Roman" w:cs="Times New Roman"/>
          <w:bCs/>
          <w:sz w:val="44"/>
          <w:szCs w:val="44"/>
        </w:rPr>
        <w:t xml:space="preserve"> správ</w:t>
      </w:r>
      <w:r>
        <w:rPr>
          <w:rFonts w:ascii="Times New Roman" w:hAnsi="Times New Roman" w:cs="Times New Roman"/>
          <w:bCs/>
          <w:sz w:val="44"/>
          <w:szCs w:val="44"/>
        </w:rPr>
        <w:t>y</w:t>
      </w:r>
      <w:r w:rsidRPr="00717EC2">
        <w:rPr>
          <w:rFonts w:ascii="Times New Roman" w:hAnsi="Times New Roman" w:cs="Times New Roman"/>
          <w:bCs/>
          <w:sz w:val="44"/>
          <w:szCs w:val="44"/>
        </w:rPr>
        <w:t xml:space="preserve"> sociálního zabezpečení</w:t>
      </w:r>
      <w:r w:rsidR="00BD7807">
        <w:rPr>
          <w:rFonts w:ascii="Times New Roman" w:hAnsi="Times New Roman" w:cs="Times New Roman"/>
          <w:bCs/>
          <w:sz w:val="44"/>
          <w:szCs w:val="44"/>
        </w:rPr>
        <w:t>.</w:t>
      </w:r>
      <w:r w:rsidR="005910EA">
        <w:rPr>
          <w:rFonts w:ascii="Times New Roman" w:hAnsi="Times New Roman" w:cs="Times New Roman"/>
          <w:bCs/>
          <w:sz w:val="44"/>
          <w:szCs w:val="44"/>
        </w:rPr>
        <w:t xml:space="preserve"> </w:t>
      </w:r>
    </w:p>
    <w:p w:rsidR="00717EC2" w:rsidRDefault="00717EC2">
      <w:pPr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cs-CZ"/>
        </w:rPr>
      </w:pPr>
    </w:p>
    <w:p w:rsidR="00717EC2" w:rsidRDefault="00717EC2">
      <w:pPr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cs-CZ"/>
        </w:rPr>
        <w:br w:type="page"/>
      </w:r>
    </w:p>
    <w:p w:rsidR="00717EC2" w:rsidRPr="00DE140B" w:rsidRDefault="00717EC2" w:rsidP="00717E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ČSSZ</w:t>
      </w:r>
    </w:p>
    <w:p w:rsidR="00717EC2" w:rsidRPr="005910EA" w:rsidRDefault="00717EC2" w:rsidP="00717E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</w:p>
    <w:p w:rsidR="00717EC2" w:rsidRPr="005910EA" w:rsidRDefault="00717EC2" w:rsidP="005910EA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b/>
          <w:bCs/>
          <w:sz w:val="44"/>
          <w:szCs w:val="44"/>
        </w:rPr>
        <w:t>Česká správa sociálního zabezpečení</w:t>
      </w:r>
      <w:r w:rsidRPr="005910EA">
        <w:rPr>
          <w:rFonts w:ascii="Times New Roman" w:hAnsi="Times New Roman" w:cs="Times New Roman"/>
          <w:sz w:val="44"/>
          <w:szCs w:val="44"/>
        </w:rPr>
        <w:t xml:space="preserve">, zkráceně </w:t>
      </w:r>
      <w:r w:rsidRPr="005910EA">
        <w:rPr>
          <w:rFonts w:ascii="Times New Roman" w:hAnsi="Times New Roman" w:cs="Times New Roman"/>
          <w:b/>
          <w:bCs/>
          <w:sz w:val="44"/>
          <w:szCs w:val="44"/>
        </w:rPr>
        <w:t>ČSSZ</w:t>
      </w:r>
      <w:r w:rsidRPr="005910EA">
        <w:rPr>
          <w:rFonts w:ascii="Times New Roman" w:hAnsi="Times New Roman" w:cs="Times New Roman"/>
          <w:sz w:val="44"/>
          <w:szCs w:val="44"/>
        </w:rPr>
        <w:t>, je největší finančně správní instituce v rámci celé státní správy České republiky. Má na starosti výplatu důchodů a nemocenských dávek. Spadá pod Ministerstvo práce a sociálních věcí České republiky.</w:t>
      </w:r>
    </w:p>
    <w:p w:rsidR="00717EC2" w:rsidRPr="005910EA" w:rsidRDefault="00717EC2" w:rsidP="005910EA">
      <w:pPr>
        <w:pStyle w:val="Normlnweb"/>
        <w:jc w:val="both"/>
        <w:rPr>
          <w:sz w:val="44"/>
          <w:szCs w:val="44"/>
        </w:rPr>
      </w:pPr>
      <w:r w:rsidRPr="005910EA">
        <w:rPr>
          <w:sz w:val="44"/>
          <w:szCs w:val="44"/>
        </w:rPr>
        <w:t xml:space="preserve">Spravuje téměř 8 milionů pojištěnců, z toho více než 2,5 milionu starobních důchodců. Vyplácí přes 3 miliony důchodů. </w:t>
      </w:r>
    </w:p>
    <w:p w:rsidR="00717EC2" w:rsidRPr="005910EA" w:rsidRDefault="00717EC2" w:rsidP="005910EA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 xml:space="preserve">Česká </w:t>
      </w:r>
      <w:r w:rsidRPr="005910EA">
        <w:rPr>
          <w:rFonts w:ascii="Times New Roman" w:hAnsi="Times New Roman" w:cs="Times New Roman"/>
          <w:b/>
          <w:bCs/>
          <w:sz w:val="44"/>
          <w:szCs w:val="44"/>
        </w:rPr>
        <w:t>správa</w:t>
      </w:r>
      <w:r w:rsidRPr="005910EA">
        <w:rPr>
          <w:rFonts w:ascii="Times New Roman" w:hAnsi="Times New Roman" w:cs="Times New Roman"/>
          <w:sz w:val="44"/>
          <w:szCs w:val="44"/>
        </w:rPr>
        <w:t xml:space="preserve"> </w:t>
      </w:r>
      <w:r w:rsidRPr="005910EA">
        <w:rPr>
          <w:rFonts w:ascii="Times New Roman" w:hAnsi="Times New Roman" w:cs="Times New Roman"/>
          <w:b/>
          <w:bCs/>
          <w:sz w:val="44"/>
          <w:szCs w:val="44"/>
        </w:rPr>
        <w:t>sociálního</w:t>
      </w:r>
      <w:r w:rsidRPr="005910EA">
        <w:rPr>
          <w:rFonts w:ascii="Times New Roman" w:hAnsi="Times New Roman" w:cs="Times New Roman"/>
          <w:sz w:val="44"/>
          <w:szCs w:val="44"/>
        </w:rPr>
        <w:t xml:space="preserve"> </w:t>
      </w:r>
      <w:r w:rsidRPr="005910EA">
        <w:rPr>
          <w:rFonts w:ascii="Times New Roman" w:hAnsi="Times New Roman" w:cs="Times New Roman"/>
          <w:b/>
          <w:bCs/>
          <w:sz w:val="44"/>
          <w:szCs w:val="44"/>
        </w:rPr>
        <w:t>zabezpečení</w:t>
      </w:r>
      <w:r w:rsidRPr="005910EA">
        <w:rPr>
          <w:rFonts w:ascii="Times New Roman" w:hAnsi="Times New Roman" w:cs="Times New Roman"/>
          <w:sz w:val="44"/>
          <w:szCs w:val="44"/>
        </w:rPr>
        <w:t xml:space="preserve"> má celkem 92 pracovišť v celé České republice. Sídlo ČSSZ je na pražském Smíchově.</w:t>
      </w:r>
    </w:p>
    <w:p w:rsidR="00717EC2" w:rsidRPr="005910EA" w:rsidRDefault="00717EC2" w:rsidP="00717E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</w:p>
    <w:p w:rsidR="005910EA" w:rsidRDefault="005910EA" w:rsidP="00717EC2">
      <w:pPr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717EC2" w:rsidRPr="005910EA" w:rsidRDefault="00717EC2" w:rsidP="00717EC2">
      <w:pPr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910EA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ČSSZ je největší a v rámci státní správy ČR zcela výjimečnou finančně správní institucí, která spravuje agendu zhruba 8,5 milionu klientů, z toho více než 2,9 milionu důchodců. Vyplácí přes 3,5 milionu důchodů a měsíčně kolem 200 tisíc dávek nemocenského pojištění.</w:t>
      </w:r>
    </w:p>
    <w:p w:rsidR="00717EC2" w:rsidRPr="005910EA" w:rsidRDefault="00717EC2" w:rsidP="00717EC2">
      <w:pPr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Přínos České správy sociálního zabezpečení</w:t>
      </w:r>
      <w:r w:rsidRPr="005910EA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do státního rozpočtu tvoří více než 1/3 všech příjmů. </w:t>
      </w: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Jde o peníze</w:t>
      </w:r>
      <w:r w:rsidRPr="005910EA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, které pravidelně vybírá na pojistném na sociální zabezpečení a příspěvky na státní politiku zaměstnanosti. Kromě důchodového a nemocenského pojištění má ČSSZ na starosti i lékařskou posudkovou službu. Plní také úkoly vyplývající z mezistátních úmluv o sociálním zabezpečení a podle koordinačních nařízení Evropské unie je styčným místem vůči zahraničním institucím pro peněžité dávky v nemoci a mateřství, důchody a peněžité dávky v případě pracovních úrazů a nemocí z povolání. </w:t>
      </w:r>
    </w:p>
    <w:p w:rsidR="00717EC2" w:rsidRPr="005910EA" w:rsidRDefault="00717EC2" w:rsidP="00717EC2">
      <w:pPr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5910EA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Organizační struktura</w:t>
      </w:r>
    </w:p>
    <w:p w:rsidR="00717EC2" w:rsidRPr="005910EA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910EA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Strukturu ČSSZ tvoří ústředí ČSSZ, (regionální) pracoviště ČSSZ, okresní správy sociálního zabezpečení, Pražská správa sociálního zabezpečení a Městská správa sociálního zabezpečení Brno a jejich územní pracoviště. </w:t>
      </w:r>
    </w:p>
    <w:p w:rsidR="00717EC2" w:rsidRPr="005910EA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910EA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Všechny organizační jednotky a útvary ČSSZ mají své ředitele, územní pracoviště Pražské správy sociálního zabezpečení a Městské správy sociálního zabezpečení Brno své vedoucí. </w:t>
      </w:r>
    </w:p>
    <w:p w:rsidR="00717EC2" w:rsidRDefault="00717EC2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Vznik České správy sociálního zabezpečení</w:t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Česká správa sociálního zabezpečení je samostatnou rozpočtovou organizací podřízenou Ministerstvu práce a sociálních věcí. Byla ustavena, s účinností od 1. září 1990, zákonem ČNR č. 210/1990 Sb., o změnách v působnosti orgánů České republiky a o změně zákona č. 20/1966 Sb., o péči o zdraví lidu, kterým 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byl novelizován zákon ČNR č. 114/1988 Sb., o působnosti orgánů ČSR v sociálním zabezpečení. </w:t>
      </w:r>
    </w:p>
    <w:p w:rsidR="00717EC2" w:rsidRPr="00DE140B" w:rsidRDefault="00717EC2" w:rsidP="00717EC2">
      <w:pPr>
        <w:spacing w:after="100" w:afterAutospacing="1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Česká správa sociálního zabezpečení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je v souladu s ustanovením § 3 zákona č. 219/2000 Sb., o majetku České republiky a jejím vystupování v právních vztazích </w:t>
      </w: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organizační složkou státu, není tedy samostatnou právnickou osobou.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Tím však není dotčena její působnost podle zvláštních právních předpisů (zejména z oblasti sociálního zabezpečení) a její jednání v těchto případech je jednáním státu. </w:t>
      </w: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Česká správa sociálního zabezpečení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fakticky vznikla sloučením Úřadu důchodového zabezpečení v Praze, České správy nemocenského pojištění a Správy nemocenského pojištění Svazu českých a moravských výrobních družstev.</w:t>
      </w:r>
    </w:p>
    <w:p w:rsidR="00717EC2" w:rsidRPr="00DE140B" w:rsidRDefault="00717EC2" w:rsidP="00717EC2">
      <w:pPr>
        <w:spacing w:after="100" w:afterAutospacing="1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Krédem ČSSZ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je být moderní, klientsky orientovanou institucí, která plně využívá nejmodernější informační a komunikační technologie. ČSSZ to definuje ve svém </w:t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Poslání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>:</w:t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>„ČSSZ je moderní úřad, nositel sociálního pojištění, jenž efektivně funguje způsobem, který odpovídá moderním technologiím informační společnosti třetího tisíciletí a je prodchnut výlučnou orientací na vytvoření maximální hodnoty pro klienta, a tím dosažení co nejvyššího splnění jeho očekávání a co nejvyšší míry jeho spokojenosti.“</w:t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DE140B" w:rsidRDefault="00DE140B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DE140B" w:rsidRDefault="00DE140B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Působnost České správy sociálního zabezpečení</w:t>
      </w:r>
    </w:p>
    <w:p w:rsid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Česká správa sociálního zabezpečení jako orgán státní správy vykonává působnost v oblasti sociálního zabezpečení (důchodového pojištění a nemocenského pojištění) a lékařské posudkové služby. Kompetence ČSSZ jsou upraveny zákonem ČNR č. 582/1991 Sb., o organizaci a provádění sociálního zabezpečení, ve znění pozdějších předpisů. </w:t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Podle ustanovení § 5 odst. 1 tohoto zákona plní ČSSZ tyto </w:t>
      </w:r>
      <w:proofErr w:type="gramStart"/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úkoly :</w:t>
      </w:r>
      <w:proofErr w:type="gramEnd"/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rozhoduje o dávkách důchodového pojištění, pokud není v uvedeném zákoně stanoveno, že o nich rozhoduje jiný orgán sociálního zabezpečení, a zařizuje výplaty těchto dávek,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rozhoduje o povinnosti občana vrátit dávku důchodového pojištění poskytnutou neprávem nebo v nesprávné výši, pokud je o této dávce oprávněna rozhodovat,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rozhoduje o povinnosti organizace nahradit neprávem vyplácené částky na dávce důchodového pojištění, pokud je o této dávce oprávněna rozhodovat,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rozhoduje o odvoláních ve věcech, v nichž v prvním stupni rozhodla okresní správa sociálního zabezpečení,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rozhoduje o odstranění tvrdostí, které by se vyskytly při provádění sociálního zabezpečení, pokud jí bylo v jednotlivých případech svěřeno,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vybírá pojistné na sociální zabezpečení a příspěvek na státní politiku zaměstnanosti podle zvláštního zákona,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jedná před soudem v řízení o přezkoumání rozhodnutí ve věcech sociálního zabezpečení,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plní úkoly při výplatě dávek sociálního zabezpečení do ciziny,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řídí a kontroluje činnost okresních správ sociálního zabezpečení,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dává souhlas ke změně pobytu práce neschopného občana při jeho odjezdu do ciziny, </w:t>
      </w:r>
    </w:p>
    <w:p w:rsidR="00717EC2" w:rsidRPr="00DE140B" w:rsidRDefault="00717EC2" w:rsidP="00717EC2">
      <w:pPr>
        <w:numPr>
          <w:ilvl w:val="0"/>
          <w:numId w:val="1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zajišťuje vydávání tiskopisů předepsaných podle zákona. </w:t>
      </w:r>
    </w:p>
    <w:p w:rsidR="00717EC2" w:rsidRPr="00DE140B" w:rsidRDefault="00717EC2" w:rsidP="00717EC2">
      <w:pPr>
        <w:spacing w:after="100" w:afterAutospacing="1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Kromě úkolů uložených v § 5 odst. 1 cit. </w:t>
      </w:r>
      <w:proofErr w:type="gramStart"/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>zákona</w:t>
      </w:r>
      <w:proofErr w:type="gramEnd"/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ČSSZ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kontroluje plnění povinností subjektů sociálního zabezpečení, posuzuje zdravotní stav a pracovní schopnost občanů pro účely sociálního zabezpečení, vede evidenci práce neschopných občanů a v určených případech provádí nemocenské pojištění.</w:t>
      </w:r>
    </w:p>
    <w:p w:rsidR="00717EC2" w:rsidRPr="00DE140B" w:rsidRDefault="00717EC2" w:rsidP="00717EC2">
      <w:pPr>
        <w:spacing w:after="100" w:afterAutospacing="1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Podle koordinačních nařízení EU je </w:t>
      </w: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ČSSZ</w:t>
      </w: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styčným orgánem vůči zahraničním institucím pro peněžité dávky v nemoci a mateřství, důchody a peněžité dávky v případě pracovních úrazů a nemocí z povolání.</w:t>
      </w:r>
    </w:p>
    <w:p w:rsidR="00DE140B" w:rsidRDefault="00DE140B">
      <w:pP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br w:type="page"/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Ostatní úkoly České správy sociálního zabezpečení</w:t>
      </w:r>
    </w:p>
    <w:p w:rsidR="00DE140B" w:rsidRDefault="00DE140B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 xml:space="preserve">Kromě zákonem stanovených úkolů vykonává ČSSZ další důležité činnosti, které zajišťují jeho efektivní provoz: </w:t>
      </w:r>
    </w:p>
    <w:p w:rsidR="00717EC2" w:rsidRPr="00DE140B" w:rsidRDefault="00717EC2" w:rsidP="00717EC2">
      <w:pPr>
        <w:numPr>
          <w:ilvl w:val="0"/>
          <w:numId w:val="2"/>
        </w:numPr>
        <w:spacing w:after="0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odpovídá za účelné vynakládání rozpočtových prostředků na sociální zabezpečení, </w:t>
      </w:r>
    </w:p>
    <w:p w:rsidR="00717EC2" w:rsidRPr="00DE140B" w:rsidRDefault="00717EC2" w:rsidP="00717EC2">
      <w:pPr>
        <w:numPr>
          <w:ilvl w:val="0"/>
          <w:numId w:val="2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sestavuje návrhy plánu a rozpočtu pro zajištění provozu ČSSZ, </w:t>
      </w:r>
    </w:p>
    <w:p w:rsidR="00717EC2" w:rsidRPr="00DE140B" w:rsidRDefault="00717EC2" w:rsidP="00717EC2">
      <w:pPr>
        <w:numPr>
          <w:ilvl w:val="0"/>
          <w:numId w:val="2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odpovídá za vedení klasických a automatizovaných evidencí dat potřebných pro rozhodování ve věcech důchodového pojištění, nemocenského pojištění a lékařské posudkové služby, </w:t>
      </w:r>
    </w:p>
    <w:p w:rsidR="00717EC2" w:rsidRPr="00DE140B" w:rsidRDefault="00717EC2" w:rsidP="00717EC2">
      <w:pPr>
        <w:numPr>
          <w:ilvl w:val="0"/>
          <w:numId w:val="2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odpovídá za vytváření a rozvíjení automatizovaného informačního systému a provádí racionalizační opatření v oblasti sociálního zabezpečení, </w:t>
      </w:r>
    </w:p>
    <w:p w:rsidR="00717EC2" w:rsidRPr="00DE140B" w:rsidRDefault="00717EC2" w:rsidP="00717EC2">
      <w:pPr>
        <w:numPr>
          <w:ilvl w:val="0"/>
          <w:numId w:val="2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odpovídá za správu svěřeného majetku (budov, zařízení, výpočetní techniky atd.).</w:t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Vztahy ČSSZ k jiným subjektům</w:t>
      </w:r>
    </w:p>
    <w:p w:rsidR="00717EC2" w:rsidRPr="00DE140B" w:rsidRDefault="00717EC2" w:rsidP="00717EC2">
      <w:pPr>
        <w:spacing w:after="0"/>
        <w:jc w:val="both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ČSSZ spolupracuje při zajišťování svých úkolů s ostatními orgány státní správy a organizacemi a dalšími subjekty, které se podílejí na provádění sociálního zabezpečení v </w:t>
      </w:r>
      <w:r w:rsidRPr="00DE140B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>České republice nebo vykonávají jiné činnosti s touto oblastí bezprostředně související. ČSSZ ve výše uvedených oblastech spolupracuje zejména s:</w:t>
      </w:r>
    </w:p>
    <w:p w:rsidR="00717EC2" w:rsidRPr="00DE140B" w:rsidRDefault="00717EC2" w:rsidP="00717EC2">
      <w:pPr>
        <w:numPr>
          <w:ilvl w:val="0"/>
          <w:numId w:val="3"/>
        </w:numPr>
        <w:spacing w:after="0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orgány sociálního zabezpečení ministerstva obrany, ministerstva vnitra a ministerstva spravedlnosti, vzájemné předávání podkladových materiálů a výplat některých důchodů, </w:t>
      </w:r>
    </w:p>
    <w:p w:rsidR="00717EC2" w:rsidRPr="00DE140B" w:rsidRDefault="00717EC2" w:rsidP="00717EC2">
      <w:pPr>
        <w:numPr>
          <w:ilvl w:val="0"/>
          <w:numId w:val="3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ministerstvem zdravotnictví (ve věcech lékařské posudkové služby), Všeobecnou zdravotní pojišťovnou (ve věcech lékařské posudkové služby, údaje o zániku nároku na některé druhy důchodů) a dalšími zdravotními pojišťovnami, </w:t>
      </w:r>
    </w:p>
    <w:p w:rsidR="00717EC2" w:rsidRPr="00DE140B" w:rsidRDefault="00717EC2" w:rsidP="00717EC2">
      <w:pPr>
        <w:numPr>
          <w:ilvl w:val="0"/>
          <w:numId w:val="3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ministerstvem financí ve věcech rozpočtových prostředků, zřizování nových účtů, </w:t>
      </w:r>
    </w:p>
    <w:p w:rsidR="00717EC2" w:rsidRPr="00DE140B" w:rsidRDefault="00717EC2" w:rsidP="00717EC2">
      <w:pPr>
        <w:numPr>
          <w:ilvl w:val="0"/>
          <w:numId w:val="3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peněžními ústavy (výplata důchodů na účty), především s Českou národní bankou, která vede účty ústředí ČSSZ a krajským správám sociálního zabezpečení, </w:t>
      </w:r>
    </w:p>
    <w:p w:rsidR="00717EC2" w:rsidRPr="00DE140B" w:rsidRDefault="00717EC2" w:rsidP="00717EC2">
      <w:pPr>
        <w:numPr>
          <w:ilvl w:val="0"/>
          <w:numId w:val="3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státním podnikem Česká pošta, který zajišťuje většinu hotovostních výplat důchodů, </w:t>
      </w:r>
    </w:p>
    <w:p w:rsidR="00717EC2" w:rsidRPr="00DE140B" w:rsidRDefault="00717EC2" w:rsidP="00717EC2">
      <w:pPr>
        <w:numPr>
          <w:ilvl w:val="0"/>
          <w:numId w:val="3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zdravotnickými zařízeními při posuzování zdravotního stavu a zajišťování výplat důchodů do těchto zařízení, </w:t>
      </w:r>
    </w:p>
    <w:p w:rsidR="00717EC2" w:rsidRPr="00DE140B" w:rsidRDefault="00717EC2" w:rsidP="00717EC2">
      <w:pPr>
        <w:numPr>
          <w:ilvl w:val="0"/>
          <w:numId w:val="3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ústavy sociální péče při zajišťování výplat důchodů do těchto zařízení, </w:t>
      </w:r>
    </w:p>
    <w:p w:rsidR="00717EC2" w:rsidRPr="00DE140B" w:rsidRDefault="00717EC2" w:rsidP="00717EC2">
      <w:pPr>
        <w:numPr>
          <w:ilvl w:val="0"/>
          <w:numId w:val="3"/>
        </w:numPr>
        <w:spacing w:after="100" w:afterAutospacing="1"/>
        <w:ind w:left="87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fyzickými a právnickými osobami při plnění úkolů v oblasti sociálního zabezpečení a lékařské posudkové služby. </w:t>
      </w:r>
    </w:p>
    <w:p w:rsidR="00717EC2" w:rsidRPr="00DE140B" w:rsidRDefault="00717EC2" w:rsidP="00717EC2">
      <w:pPr>
        <w:spacing w:after="100" w:afterAutospacing="1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DE140B">
        <w:rPr>
          <w:rFonts w:ascii="Times New Roman" w:eastAsia="Times New Roman" w:hAnsi="Times New Roman" w:cs="Times New Roman"/>
          <w:sz w:val="44"/>
          <w:szCs w:val="44"/>
          <w:lang w:eastAsia="cs-CZ"/>
        </w:rPr>
        <w:t>V rámci legislativního procesu a přípravy koncepce sociálního zabezpečení spolupracuje ČSSZ se členy příslušných výborů Poslanecké sněmovny a Senátu Parlamentu ČR. Při mezirezortních připomínkových řízeních ČSSZ spolupracuje i s dalšími ústředními orgány státní správy ČR.</w:t>
      </w:r>
    </w:p>
    <w:p w:rsidR="00717EC2" w:rsidRDefault="00717EC2" w:rsidP="00717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140B" w:rsidRDefault="00DE140B" w:rsidP="00717EC2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DE140B" w:rsidRDefault="00DE140B" w:rsidP="00717EC2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DE140B" w:rsidRDefault="00DE140B" w:rsidP="00717EC2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DE140B" w:rsidRDefault="00DE140B" w:rsidP="00717EC2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DE140B" w:rsidRDefault="00DE140B" w:rsidP="00717EC2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5910EA" w:rsidRDefault="005910EA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5910EA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5910EA" w:rsidRPr="005910EA" w:rsidRDefault="005910EA" w:rsidP="005910EA">
      <w:pPr>
        <w:spacing w:after="0"/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MPSV</w:t>
      </w:r>
      <w:r w:rsidRPr="005910EA">
        <w:rPr>
          <w:rFonts w:ascii="Times New Roman" w:hAnsi="Times New Roman" w:cs="Times New Roman"/>
          <w:i/>
          <w:sz w:val="44"/>
          <w:szCs w:val="44"/>
        </w:rPr>
        <w:t>.</w:t>
      </w:r>
      <w:r w:rsidRPr="005910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5910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5910EA">
        <w:rPr>
          <w:rFonts w:ascii="Times New Roman" w:hAnsi="Times New Roman" w:cs="Times New Roman"/>
          <w:sz w:val="44"/>
          <w:szCs w:val="44"/>
        </w:rPr>
        <w:t xml:space="preserve">. [cit. </w:t>
      </w:r>
      <w:r w:rsidR="006E03A5">
        <w:rPr>
          <w:rFonts w:ascii="Times New Roman" w:hAnsi="Times New Roman" w:cs="Times New Roman"/>
          <w:sz w:val="44"/>
          <w:szCs w:val="44"/>
        </w:rPr>
        <w:t>1</w:t>
      </w:r>
      <w:r w:rsidRPr="005910EA">
        <w:rPr>
          <w:rFonts w:ascii="Times New Roman" w:hAnsi="Times New Roman" w:cs="Times New Roman"/>
          <w:sz w:val="44"/>
          <w:szCs w:val="44"/>
        </w:rPr>
        <w:t xml:space="preserve">5. </w:t>
      </w:r>
      <w:r w:rsidR="006E03A5">
        <w:rPr>
          <w:rFonts w:ascii="Times New Roman" w:hAnsi="Times New Roman" w:cs="Times New Roman"/>
          <w:sz w:val="44"/>
          <w:szCs w:val="44"/>
        </w:rPr>
        <w:t>12</w:t>
      </w:r>
      <w:r w:rsidRPr="005910EA">
        <w:rPr>
          <w:rFonts w:ascii="Times New Roman" w:hAnsi="Times New Roman" w:cs="Times New Roman"/>
          <w:sz w:val="44"/>
          <w:szCs w:val="44"/>
        </w:rPr>
        <w:t>. 201</w:t>
      </w:r>
      <w:r w:rsidR="006E03A5">
        <w:rPr>
          <w:rFonts w:ascii="Times New Roman" w:hAnsi="Times New Roman" w:cs="Times New Roman"/>
          <w:sz w:val="44"/>
          <w:szCs w:val="44"/>
        </w:rPr>
        <w:t>3</w:t>
      </w:r>
      <w:r w:rsidRPr="005910EA">
        <w:rPr>
          <w:rFonts w:ascii="Times New Roman" w:hAnsi="Times New Roman" w:cs="Times New Roman"/>
          <w:sz w:val="44"/>
          <w:szCs w:val="44"/>
        </w:rPr>
        <w:t xml:space="preserve"> v 21, 01hod.]. </w:t>
      </w:r>
    </w:p>
    <w:p w:rsidR="005910EA" w:rsidRPr="005910EA" w:rsidRDefault="005910EA" w:rsidP="006E03A5">
      <w:pPr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="006E03A5" w:rsidRPr="005910EA">
          <w:rPr>
            <w:rStyle w:val="Hypertextovodkaz"/>
            <w:rFonts w:ascii="Times New Roman" w:hAnsi="Times New Roman" w:cs="Times New Roman"/>
            <w:color w:val="auto"/>
            <w:sz w:val="44"/>
            <w:szCs w:val="44"/>
          </w:rPr>
          <w:t>http://www.mpsv.cz/cs/1</w:t>
        </w:r>
      </w:hyperlink>
      <w:r w:rsidRPr="005910EA">
        <w:rPr>
          <w:rFonts w:ascii="Times New Roman" w:hAnsi="Times New Roman" w:cs="Times New Roman"/>
          <w:sz w:val="44"/>
          <w:szCs w:val="44"/>
        </w:rPr>
        <w:t>&gt;.</w:t>
      </w:r>
    </w:p>
    <w:p w:rsidR="005910EA" w:rsidRPr="005910EA" w:rsidRDefault="005910EA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5910EA" w:rsidRPr="005910EA" w:rsidRDefault="005910EA" w:rsidP="005910EA">
      <w:pPr>
        <w:spacing w:after="0"/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ÚŘAD PRÁCE v ČR</w:t>
      </w:r>
      <w:r w:rsidRPr="005910EA">
        <w:rPr>
          <w:rFonts w:ascii="Times New Roman" w:hAnsi="Times New Roman" w:cs="Times New Roman"/>
          <w:i/>
          <w:sz w:val="44"/>
          <w:szCs w:val="44"/>
        </w:rPr>
        <w:t>.</w:t>
      </w:r>
      <w:r w:rsidRPr="005910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5910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5910EA">
        <w:rPr>
          <w:rFonts w:ascii="Times New Roman" w:hAnsi="Times New Roman" w:cs="Times New Roman"/>
          <w:sz w:val="44"/>
          <w:szCs w:val="44"/>
        </w:rPr>
        <w:t xml:space="preserve">. [cit. </w:t>
      </w:r>
      <w:r w:rsidR="006E03A5">
        <w:rPr>
          <w:rFonts w:ascii="Times New Roman" w:hAnsi="Times New Roman" w:cs="Times New Roman"/>
          <w:sz w:val="44"/>
          <w:szCs w:val="44"/>
        </w:rPr>
        <w:t>1</w:t>
      </w:r>
      <w:r w:rsidRPr="005910EA">
        <w:rPr>
          <w:rFonts w:ascii="Times New Roman" w:hAnsi="Times New Roman" w:cs="Times New Roman"/>
          <w:sz w:val="44"/>
          <w:szCs w:val="44"/>
        </w:rPr>
        <w:t xml:space="preserve">5. </w:t>
      </w:r>
      <w:r w:rsidR="006E03A5">
        <w:rPr>
          <w:rFonts w:ascii="Times New Roman" w:hAnsi="Times New Roman" w:cs="Times New Roman"/>
          <w:sz w:val="44"/>
          <w:szCs w:val="44"/>
        </w:rPr>
        <w:t>12</w:t>
      </w:r>
      <w:r w:rsidRPr="005910EA">
        <w:rPr>
          <w:rFonts w:ascii="Times New Roman" w:hAnsi="Times New Roman" w:cs="Times New Roman"/>
          <w:sz w:val="44"/>
          <w:szCs w:val="44"/>
        </w:rPr>
        <w:t>. 201</w:t>
      </w:r>
      <w:r w:rsidR="006E03A5">
        <w:rPr>
          <w:rFonts w:ascii="Times New Roman" w:hAnsi="Times New Roman" w:cs="Times New Roman"/>
          <w:sz w:val="44"/>
          <w:szCs w:val="44"/>
        </w:rPr>
        <w:t>3</w:t>
      </w:r>
      <w:r w:rsidRPr="005910EA">
        <w:rPr>
          <w:rFonts w:ascii="Times New Roman" w:hAnsi="Times New Roman" w:cs="Times New Roman"/>
          <w:sz w:val="44"/>
          <w:szCs w:val="44"/>
        </w:rPr>
        <w:t xml:space="preserve"> v 21, </w:t>
      </w:r>
      <w:r>
        <w:rPr>
          <w:rFonts w:ascii="Times New Roman" w:hAnsi="Times New Roman" w:cs="Times New Roman"/>
          <w:sz w:val="44"/>
          <w:szCs w:val="44"/>
        </w:rPr>
        <w:t>40</w:t>
      </w:r>
      <w:r w:rsidRPr="005910EA">
        <w:rPr>
          <w:rFonts w:ascii="Times New Roman" w:hAnsi="Times New Roman" w:cs="Times New Roman"/>
          <w:sz w:val="44"/>
          <w:szCs w:val="44"/>
        </w:rPr>
        <w:t xml:space="preserve">hod.]. </w:t>
      </w:r>
    </w:p>
    <w:p w:rsidR="006E03A5" w:rsidRPr="006E03A5" w:rsidRDefault="005910EA" w:rsidP="006E03A5">
      <w:pPr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Dostupný na WWW: &lt;</w:t>
      </w:r>
      <w:hyperlink r:id="rId8" w:history="1">
        <w:r w:rsidR="006E03A5" w:rsidRPr="005910EA">
          <w:rPr>
            <w:rStyle w:val="Hypertextovodkaz"/>
            <w:rFonts w:ascii="Times New Roman" w:hAnsi="Times New Roman" w:cs="Times New Roman"/>
            <w:color w:val="auto"/>
            <w:sz w:val="44"/>
            <w:szCs w:val="44"/>
          </w:rPr>
          <w:t>http://portal.mpsv.cz/upcr</w:t>
        </w:r>
      </w:hyperlink>
      <w:r w:rsidR="006E03A5" w:rsidRPr="006E03A5">
        <w:rPr>
          <w:rFonts w:ascii="Times New Roman" w:hAnsi="Times New Roman" w:cs="Times New Roman"/>
          <w:sz w:val="44"/>
          <w:szCs w:val="44"/>
        </w:rPr>
        <w:t>&gt;.</w:t>
      </w:r>
    </w:p>
    <w:p w:rsidR="005910EA" w:rsidRPr="005910EA" w:rsidRDefault="005910EA">
      <w:pPr>
        <w:rPr>
          <w:rFonts w:ascii="Times New Roman" w:hAnsi="Times New Roman" w:cs="Times New Roman"/>
          <w:sz w:val="44"/>
          <w:szCs w:val="44"/>
          <w:u w:val="single"/>
        </w:rPr>
      </w:pPr>
    </w:p>
    <w:p w:rsidR="005910EA" w:rsidRPr="005910EA" w:rsidRDefault="005910EA">
      <w:pPr>
        <w:rPr>
          <w:rFonts w:ascii="Times New Roman" w:hAnsi="Times New Roman" w:cs="Times New Roman"/>
          <w:sz w:val="44"/>
          <w:szCs w:val="44"/>
          <w:u w:val="single"/>
        </w:rPr>
      </w:pPr>
    </w:p>
    <w:sectPr w:rsidR="005910EA" w:rsidRPr="005910EA" w:rsidSect="00717EC2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A37" w:rsidRDefault="00A74A37" w:rsidP="00717EC2">
      <w:pPr>
        <w:spacing w:after="0" w:line="240" w:lineRule="auto"/>
      </w:pPr>
      <w:r>
        <w:separator/>
      </w:r>
    </w:p>
  </w:endnote>
  <w:endnote w:type="continuationSeparator" w:id="0">
    <w:p w:rsidR="00A74A37" w:rsidRDefault="00A74A37" w:rsidP="0071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69"/>
      <w:docPartObj>
        <w:docPartGallery w:val="Page Numbers (Bottom of Page)"/>
        <w:docPartUnique/>
      </w:docPartObj>
    </w:sdtPr>
    <w:sdtContent>
      <w:p w:rsidR="005910EA" w:rsidRDefault="00EB5067">
        <w:pPr>
          <w:pStyle w:val="Zpat"/>
          <w:jc w:val="center"/>
        </w:pPr>
        <w:fldSimple w:instr=" PAGE   \* MERGEFORMAT ">
          <w:r w:rsidR="00984BCD">
            <w:rPr>
              <w:noProof/>
            </w:rPr>
            <w:t>1</w:t>
          </w:r>
        </w:fldSimple>
      </w:p>
    </w:sdtContent>
  </w:sdt>
  <w:p w:rsidR="005910EA" w:rsidRDefault="005910E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A37" w:rsidRDefault="00A74A37" w:rsidP="00717EC2">
      <w:pPr>
        <w:spacing w:after="0" w:line="240" w:lineRule="auto"/>
      </w:pPr>
      <w:r>
        <w:separator/>
      </w:r>
    </w:p>
  </w:footnote>
  <w:footnote w:type="continuationSeparator" w:id="0">
    <w:p w:rsidR="00A74A37" w:rsidRDefault="00A74A37" w:rsidP="00717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EC2" w:rsidRDefault="00717EC2" w:rsidP="00717EC2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0905" cy="14541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541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955DE"/>
    <w:multiLevelType w:val="hybridMultilevel"/>
    <w:tmpl w:val="DC484B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2405A4"/>
    <w:multiLevelType w:val="hybridMultilevel"/>
    <w:tmpl w:val="957ADC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D743EE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CE376F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B42AB7"/>
    <w:multiLevelType w:val="hybridMultilevel"/>
    <w:tmpl w:val="91560528"/>
    <w:lvl w:ilvl="0" w:tplc="FC40DE8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0569BB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ED1E7C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C63379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FB0DAF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D639A3"/>
    <w:multiLevelType w:val="hybridMultilevel"/>
    <w:tmpl w:val="30E4FE30"/>
    <w:lvl w:ilvl="0" w:tplc="34D8C3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3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EC2"/>
    <w:rsid w:val="0006204E"/>
    <w:rsid w:val="000C26F0"/>
    <w:rsid w:val="0023653E"/>
    <w:rsid w:val="00404859"/>
    <w:rsid w:val="005579C3"/>
    <w:rsid w:val="005910EA"/>
    <w:rsid w:val="00693960"/>
    <w:rsid w:val="006E03A5"/>
    <w:rsid w:val="00710051"/>
    <w:rsid w:val="00717EC2"/>
    <w:rsid w:val="00773C95"/>
    <w:rsid w:val="007B6863"/>
    <w:rsid w:val="008E719E"/>
    <w:rsid w:val="0090598C"/>
    <w:rsid w:val="00984BCD"/>
    <w:rsid w:val="00A74A37"/>
    <w:rsid w:val="00BD7807"/>
    <w:rsid w:val="00DE140B"/>
    <w:rsid w:val="00DF6FDD"/>
    <w:rsid w:val="00EB5067"/>
    <w:rsid w:val="00EE57D0"/>
    <w:rsid w:val="00F06F67"/>
    <w:rsid w:val="00FD2546"/>
    <w:rsid w:val="00FE2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7EC2"/>
  </w:style>
  <w:style w:type="paragraph" w:styleId="Nadpis1">
    <w:name w:val="heading 1"/>
    <w:basedOn w:val="Normln"/>
    <w:link w:val="Nadpis1Char"/>
    <w:uiPriority w:val="9"/>
    <w:qFormat/>
    <w:rsid w:val="00717E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17E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17E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17E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17EC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17E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17E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17E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717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17EC2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71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17EC2"/>
  </w:style>
  <w:style w:type="paragraph" w:styleId="Zpat">
    <w:name w:val="footer"/>
    <w:basedOn w:val="Normln"/>
    <w:link w:val="ZpatChar"/>
    <w:uiPriority w:val="99"/>
    <w:unhideWhenUsed/>
    <w:rsid w:val="0071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7EC2"/>
  </w:style>
  <w:style w:type="paragraph" w:styleId="Textbubliny">
    <w:name w:val="Balloon Text"/>
    <w:basedOn w:val="Normln"/>
    <w:link w:val="TextbublinyChar"/>
    <w:uiPriority w:val="99"/>
    <w:semiHidden/>
    <w:unhideWhenUsed/>
    <w:rsid w:val="00717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7EC2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6E03A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mpsv.cz/upc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psv.cz/cs/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1252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8</cp:revision>
  <dcterms:created xsi:type="dcterms:W3CDTF">2014-03-25T20:29:00Z</dcterms:created>
  <dcterms:modified xsi:type="dcterms:W3CDTF">2014-04-25T11:38:00Z</dcterms:modified>
</cp:coreProperties>
</file>