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F5D" w:rsidRDefault="00A45F5D" w:rsidP="00A45F5D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F5D" w:rsidRDefault="00A45F5D" w:rsidP="00A45F5D">
      <w:pPr>
        <w:jc w:val="center"/>
        <w:rPr>
          <w:rFonts w:ascii="Calibri" w:eastAsia="Calibri" w:hAnsi="Calibri"/>
          <w:lang w:eastAsia="en-US"/>
        </w:rPr>
      </w:pPr>
    </w:p>
    <w:p w:rsidR="00A45F5D" w:rsidRDefault="00A45F5D" w:rsidP="00A45F5D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A45F5D" w:rsidRDefault="00A45F5D" w:rsidP="00A45F5D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A45F5D" w:rsidRDefault="00A45F5D" w:rsidP="00A45F5D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A45F5D" w:rsidRDefault="00A45F5D" w:rsidP="00A45F5D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A45F5D" w:rsidRDefault="00A45F5D" w:rsidP="00A45F5D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A45F5D" w:rsidTr="00A45F5D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5F5D" w:rsidRDefault="00A45F5D">
            <w:pPr>
              <w:rPr>
                <w:rFonts w:ascii="Calibri" w:hAnsi="Calibri"/>
                <w:smallCaps/>
                <w:sz w:val="44"/>
                <w:szCs w:val="44"/>
                <w:lang w:eastAsia="en-US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F5D" w:rsidRDefault="00A45F5D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A45F5D" w:rsidTr="00A45F5D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5F5D" w:rsidRDefault="00A45F5D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F5D" w:rsidRDefault="00A45F5D" w:rsidP="00A45F5D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10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inflace</w:t>
            </w:r>
          </w:p>
        </w:tc>
      </w:tr>
      <w:tr w:rsidR="00A45F5D" w:rsidTr="00A45F5D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5F5D" w:rsidRDefault="00A45F5D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F5D" w:rsidRDefault="00A45F5D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A45F5D" w:rsidTr="00A45F5D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5F5D" w:rsidRDefault="00A45F5D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F5D" w:rsidRDefault="00A45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A45F5D" w:rsidTr="00A45F5D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5F5D" w:rsidRDefault="00A45F5D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F5D" w:rsidRDefault="00A45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A45F5D" w:rsidTr="00A45F5D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5F5D" w:rsidRDefault="00A45F5D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F5D" w:rsidRDefault="00A45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A45F5D" w:rsidTr="00A45F5D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5F5D" w:rsidRDefault="00A45F5D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F5D" w:rsidRDefault="00A45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říjen</w:t>
            </w:r>
            <w:r>
              <w:rPr>
                <w:sz w:val="28"/>
                <w:szCs w:val="28"/>
              </w:rPr>
              <w:t xml:space="preserve"> 2013</w:t>
            </w:r>
          </w:p>
        </w:tc>
      </w:tr>
    </w:tbl>
    <w:p w:rsidR="00A45F5D" w:rsidRDefault="00A45F5D" w:rsidP="00A45F5D">
      <w:pPr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A45F5D" w:rsidRDefault="00A45F5D" w:rsidP="00A45F5D">
      <w:pPr>
        <w:rPr>
          <w:rFonts w:ascii="Calibri" w:eastAsia="Calibri" w:hAnsi="Calibri"/>
          <w:smallCaps/>
          <w:sz w:val="52"/>
          <w:lang w:eastAsia="en-US"/>
        </w:rPr>
      </w:pPr>
    </w:p>
    <w:p w:rsidR="00A45F5D" w:rsidRDefault="00A45F5D" w:rsidP="00A45F5D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A45F5D" w:rsidRDefault="00A45F5D" w:rsidP="00A45F5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2. ročníku pro studijní obor 65-41-L/51 Gastronomie, ŠVP: Společné stravování.</w:t>
      </w:r>
    </w:p>
    <w:p w:rsidR="00A45F5D" w:rsidRDefault="00A45F5D" w:rsidP="00A45F5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vysvětluje pojem </w:t>
      </w:r>
      <w:r>
        <w:rPr>
          <w:rFonts w:ascii="Calibri" w:eastAsia="Calibri" w:hAnsi="Calibri"/>
          <w:sz w:val="28"/>
          <w:szCs w:val="28"/>
          <w:lang w:eastAsia="en-US"/>
        </w:rPr>
        <w:t>inflace a její druhy, pojem spotřební koš a náznak výpočtu inflace.</w:t>
      </w:r>
    </w:p>
    <w:p w:rsidR="00A45F5D" w:rsidRDefault="00A45F5D" w:rsidP="00A45F5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A45F5D" w:rsidRDefault="00A45F5D" w:rsidP="00A45F5D">
      <w:pPr>
        <w:rPr>
          <w:rFonts w:ascii="Calibri" w:eastAsia="Calibri" w:hAnsi="Calibri"/>
          <w:sz w:val="28"/>
          <w:szCs w:val="28"/>
          <w:lang w:eastAsia="en-US"/>
        </w:rPr>
      </w:pPr>
    </w:p>
    <w:p w:rsidR="00A45F5D" w:rsidRDefault="00A45F5D" w:rsidP="00A45F5D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A45F5D" w:rsidRDefault="00A45F5D" w:rsidP="00A45F5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A45F5D" w:rsidRDefault="00A45F5D" w:rsidP="00A45F5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A45F5D" w:rsidRDefault="00A45F5D" w:rsidP="00A45F5D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45F5D" w:rsidRDefault="00A45F5D" w:rsidP="00A45F5D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45F5D" w:rsidRDefault="00A45F5D" w:rsidP="00A45F5D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45F5D" w:rsidRDefault="00A45F5D" w:rsidP="00A45F5D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45F5D" w:rsidRDefault="00A45F5D" w:rsidP="00A45F5D">
      <w:pPr>
        <w:rPr>
          <w:rFonts w:ascii="Calibri" w:eastAsia="Calibri" w:hAnsi="Calibri"/>
          <w:smallCaps/>
          <w:sz w:val="52"/>
          <w:lang w:eastAsia="en-US"/>
        </w:rPr>
      </w:pPr>
    </w:p>
    <w:p w:rsidR="00B2261A" w:rsidRDefault="002D46AD" w:rsidP="002D46AD">
      <w:pPr>
        <w:pStyle w:val="Nadpis1"/>
        <w:spacing w:after="240"/>
      </w:pPr>
      <w:r>
        <w:lastRenderedPageBreak/>
        <w:t>Inflace</w:t>
      </w:r>
    </w:p>
    <w:p w:rsidR="002D46AD" w:rsidRDefault="002D46AD" w:rsidP="002D46AD">
      <w:pPr>
        <w:spacing w:after="240"/>
      </w:pPr>
      <w:r>
        <w:t xml:space="preserve">- </w:t>
      </w:r>
      <w:r w:rsidRPr="002D46AD">
        <w:rPr>
          <w:b/>
        </w:rPr>
        <w:t>růst cen/</w:t>
      </w:r>
      <w:r w:rsidR="0084047B">
        <w:rPr>
          <w:b/>
        </w:rPr>
        <w:t xml:space="preserve">zmenšování kupní síly peněz </w:t>
      </w:r>
      <w:r w:rsidR="0084047B">
        <w:t>(</w:t>
      </w:r>
      <w:r>
        <w:t>zmenšuje množství statků a služeb, které si můžeme za peněžní jednotku koupit)</w:t>
      </w:r>
    </w:p>
    <w:p w:rsidR="002D46AD" w:rsidRDefault="002D46AD" w:rsidP="002D46AD">
      <w:pPr>
        <w:spacing w:after="240"/>
      </w:pPr>
      <w:r>
        <w:t xml:space="preserve">Opakem je </w:t>
      </w:r>
      <w:r w:rsidRPr="00D433F2">
        <w:rPr>
          <w:b/>
        </w:rPr>
        <w:t>deflace</w:t>
      </w:r>
      <w:r>
        <w:t xml:space="preserve"> – vzácně v období hluboké deprese</w:t>
      </w:r>
    </w:p>
    <w:p w:rsidR="0084047B" w:rsidRDefault="0084047B" w:rsidP="002D46AD">
      <w:pPr>
        <w:spacing w:after="240"/>
      </w:pPr>
    </w:p>
    <w:p w:rsidR="00D433F2" w:rsidRPr="00D433F2" w:rsidRDefault="00D433F2" w:rsidP="002D46AD">
      <w:pPr>
        <w:spacing w:after="240"/>
        <w:rPr>
          <w:b/>
          <w:u w:val="single"/>
        </w:rPr>
      </w:pPr>
      <w:r w:rsidRPr="00D433F2">
        <w:rPr>
          <w:b/>
          <w:u w:val="single"/>
        </w:rPr>
        <w:t>Výpočet inflace</w:t>
      </w:r>
    </w:p>
    <w:p w:rsidR="004029F0" w:rsidRDefault="00D433F2" w:rsidP="004029F0">
      <w:pPr>
        <w:spacing w:after="240"/>
      </w:pPr>
      <w:r>
        <w:t xml:space="preserve"> </w:t>
      </w:r>
      <w:r w:rsidR="004029F0">
        <w:t>Inflace se měří</w:t>
      </w:r>
      <w:r w:rsidR="00FD1A48">
        <w:t xml:space="preserve"> nejčastěji</w:t>
      </w:r>
      <w:r w:rsidR="004029F0">
        <w:t xml:space="preserve"> pomocí </w:t>
      </w:r>
      <w:r w:rsidR="004029F0" w:rsidRPr="00FD1A48">
        <w:rPr>
          <w:b/>
          <w:u w:val="single"/>
        </w:rPr>
        <w:t>ind</w:t>
      </w:r>
      <w:r w:rsidR="00FD1A48" w:rsidRPr="00FD1A48">
        <w:rPr>
          <w:b/>
          <w:u w:val="single"/>
        </w:rPr>
        <w:t>exu spotřebitelských cen (CPI)</w:t>
      </w:r>
      <w:r w:rsidR="00FD1A48">
        <w:t xml:space="preserve"> -&gt; porovnají</w:t>
      </w:r>
      <w:r w:rsidR="004029F0">
        <w:t xml:space="preserve"> se ceny spotřebního koše ve dvou obdobích</w:t>
      </w:r>
    </w:p>
    <w:p w:rsidR="00660B14" w:rsidRDefault="004029F0" w:rsidP="002D46AD">
      <w:pPr>
        <w:spacing w:after="240"/>
      </w:pPr>
      <w:r w:rsidRPr="003B3383">
        <w:rPr>
          <w:u w:val="single"/>
        </w:rPr>
        <w:t>Spotřebitelský koš</w:t>
      </w:r>
      <w:r>
        <w:t xml:space="preserve"> </w:t>
      </w:r>
      <w:r w:rsidR="00FD1A48">
        <w:t xml:space="preserve">představuje </w:t>
      </w:r>
      <w:r w:rsidR="00660B14">
        <w:t>reprezentativní skupinu výrobků a služeb typických pro spotřebu v určité zemi (modelovou spotřebu průměrné domácnosti).  Obsahuje několik set položek (např. výdaje na bydlení, potraviny, dopravu, vodu, energie, kulturu, odívání, rekreaci, atd.).</w:t>
      </w:r>
    </w:p>
    <w:p w:rsidR="00FD2C57" w:rsidRDefault="008C0DA8" w:rsidP="002D46AD">
      <w:pPr>
        <w:spacing w:after="240"/>
        <w:rPr>
          <w:i/>
        </w:rPr>
      </w:pPr>
      <w:r>
        <w:rPr>
          <w:i/>
        </w:rPr>
        <w:t xml:space="preserve">Index porovnává částky, které bychom za stejný objem zboží pořízeného v základním období vydali v běžném období a v základním období. </w:t>
      </w:r>
      <w:r w:rsidR="00660B14" w:rsidRPr="00660B14">
        <w:rPr>
          <w:i/>
        </w:rPr>
        <w:t xml:space="preserve">Jednotlivým položkám je určena váha podle jejich zastoupení ve výdajích průměrné domácnosti. </w:t>
      </w:r>
    </w:p>
    <w:p w:rsidR="008C0DA8" w:rsidRDefault="00A45F5D" w:rsidP="002D46AD">
      <w:pPr>
        <w:spacing w:after="240"/>
        <w:rPr>
          <w:rStyle w:val="Hypertextovodkaz"/>
          <w:i/>
        </w:rPr>
      </w:pPr>
      <w:hyperlink r:id="rId6" w:history="1">
        <w:r w:rsidR="003B3383" w:rsidRPr="00210294">
          <w:rPr>
            <w:rStyle w:val="Hypertextovodkaz"/>
            <w:i/>
          </w:rPr>
          <w:t>http://www.czso.cz/csu/redakce.nsf/i/spotrebni_kos_2013/$File/spot_kos2013.pdf</w:t>
        </w:r>
      </w:hyperlink>
    </w:p>
    <w:p w:rsidR="0084047B" w:rsidRDefault="0084047B" w:rsidP="002D46AD">
      <w:pPr>
        <w:spacing w:after="240"/>
        <w:rPr>
          <w:i/>
        </w:rPr>
      </w:pPr>
    </w:p>
    <w:p w:rsidR="00FD2C57" w:rsidRDefault="0033397E" w:rsidP="00FD2C57">
      <w:pPr>
        <w:rPr>
          <w:color w:val="FF0000"/>
          <w:u w:val="single"/>
        </w:rPr>
      </w:pPr>
      <w:r w:rsidRPr="0033397E">
        <w:rPr>
          <w:color w:val="FF0000"/>
          <w:u w:val="single"/>
        </w:rPr>
        <w:t>Ukázka (zjednodušeno) výpočtu inflace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3397E" w:rsidRPr="0033397E" w:rsidTr="0033397E">
        <w:tc>
          <w:tcPr>
            <w:tcW w:w="2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33397E" w:rsidRPr="0033397E" w:rsidRDefault="0033397E" w:rsidP="0033397E">
            <w:pPr>
              <w:jc w:val="center"/>
              <w:rPr>
                <w:color w:val="FF0000"/>
              </w:rPr>
            </w:pPr>
            <w:r w:rsidRPr="0033397E">
              <w:rPr>
                <w:color w:val="FF0000"/>
              </w:rPr>
              <w:t>ZBOŽÍ</w:t>
            </w:r>
          </w:p>
        </w:tc>
        <w:tc>
          <w:tcPr>
            <w:tcW w:w="2303" w:type="dxa"/>
            <w:tcBorders>
              <w:top w:val="double" w:sz="4" w:space="0" w:color="auto"/>
              <w:bottom w:val="double" w:sz="4" w:space="0" w:color="auto"/>
            </w:tcBorders>
          </w:tcPr>
          <w:p w:rsidR="0033397E" w:rsidRPr="0033397E" w:rsidRDefault="0033397E" w:rsidP="0033397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INDEX CEN</w:t>
            </w:r>
          </w:p>
        </w:tc>
        <w:tc>
          <w:tcPr>
            <w:tcW w:w="2303" w:type="dxa"/>
            <w:tcBorders>
              <w:top w:val="double" w:sz="4" w:space="0" w:color="auto"/>
              <w:bottom w:val="double" w:sz="4" w:space="0" w:color="auto"/>
            </w:tcBorders>
          </w:tcPr>
          <w:p w:rsidR="0033397E" w:rsidRPr="0033397E" w:rsidRDefault="0033397E" w:rsidP="0033397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VÁHA V KOŠI</w:t>
            </w:r>
          </w:p>
        </w:tc>
        <w:tc>
          <w:tcPr>
            <w:tcW w:w="23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3397E" w:rsidRPr="0033397E" w:rsidRDefault="0033397E" w:rsidP="0033397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INDEX CEN * VÁHA</w:t>
            </w:r>
          </w:p>
        </w:tc>
      </w:tr>
      <w:tr w:rsidR="0033397E" w:rsidRPr="0033397E" w:rsidTr="0033397E">
        <w:tc>
          <w:tcPr>
            <w:tcW w:w="2303" w:type="dxa"/>
            <w:tcBorders>
              <w:top w:val="double" w:sz="4" w:space="0" w:color="auto"/>
            </w:tcBorders>
          </w:tcPr>
          <w:p w:rsidR="0033397E" w:rsidRPr="0033397E" w:rsidRDefault="0033397E" w:rsidP="00FD2C57">
            <w:pPr>
              <w:rPr>
                <w:color w:val="FF0000"/>
              </w:rPr>
            </w:pPr>
            <w:r>
              <w:rPr>
                <w:color w:val="FF0000"/>
              </w:rPr>
              <w:t>Potraviny</w:t>
            </w:r>
          </w:p>
        </w:tc>
        <w:tc>
          <w:tcPr>
            <w:tcW w:w="2303" w:type="dxa"/>
            <w:tcBorders>
              <w:top w:val="double" w:sz="4" w:space="0" w:color="auto"/>
            </w:tcBorders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1,05</w:t>
            </w:r>
          </w:p>
        </w:tc>
        <w:tc>
          <w:tcPr>
            <w:tcW w:w="2303" w:type="dxa"/>
            <w:tcBorders>
              <w:top w:val="double" w:sz="4" w:space="0" w:color="auto"/>
            </w:tcBorders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0,35</w:t>
            </w:r>
          </w:p>
        </w:tc>
        <w:tc>
          <w:tcPr>
            <w:tcW w:w="2303" w:type="dxa"/>
            <w:tcBorders>
              <w:top w:val="double" w:sz="4" w:space="0" w:color="auto"/>
            </w:tcBorders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0,3675</w:t>
            </w:r>
          </w:p>
        </w:tc>
      </w:tr>
      <w:tr w:rsidR="0033397E" w:rsidRPr="0033397E" w:rsidTr="0033397E">
        <w:tc>
          <w:tcPr>
            <w:tcW w:w="2303" w:type="dxa"/>
          </w:tcPr>
          <w:p w:rsidR="0033397E" w:rsidRPr="0033397E" w:rsidRDefault="0033397E" w:rsidP="00FD2C57">
            <w:pPr>
              <w:rPr>
                <w:color w:val="FF0000"/>
              </w:rPr>
            </w:pPr>
            <w:r>
              <w:rPr>
                <w:color w:val="FF0000"/>
              </w:rPr>
              <w:t>Bydlení</w:t>
            </w:r>
          </w:p>
        </w:tc>
        <w:tc>
          <w:tcPr>
            <w:tcW w:w="2303" w:type="dxa"/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1,08</w:t>
            </w:r>
          </w:p>
        </w:tc>
        <w:tc>
          <w:tcPr>
            <w:tcW w:w="2303" w:type="dxa"/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0,45</w:t>
            </w:r>
          </w:p>
        </w:tc>
        <w:tc>
          <w:tcPr>
            <w:tcW w:w="2303" w:type="dxa"/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0,486</w:t>
            </w:r>
          </w:p>
        </w:tc>
      </w:tr>
      <w:tr w:rsidR="0033397E" w:rsidRPr="0033397E" w:rsidTr="0033397E">
        <w:tc>
          <w:tcPr>
            <w:tcW w:w="2303" w:type="dxa"/>
            <w:tcBorders>
              <w:bottom w:val="single" w:sz="4" w:space="0" w:color="auto"/>
            </w:tcBorders>
          </w:tcPr>
          <w:p w:rsidR="0033397E" w:rsidRPr="0033397E" w:rsidRDefault="0033397E" w:rsidP="00FD2C57">
            <w:pPr>
              <w:rPr>
                <w:color w:val="FF0000"/>
              </w:rPr>
            </w:pPr>
            <w:r>
              <w:rPr>
                <w:color w:val="FF0000"/>
              </w:rPr>
              <w:t>Doprava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1,1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0,15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0,165</w:t>
            </w:r>
          </w:p>
        </w:tc>
      </w:tr>
      <w:tr w:rsidR="0033397E" w:rsidRPr="0033397E" w:rsidTr="0033397E">
        <w:tc>
          <w:tcPr>
            <w:tcW w:w="2303" w:type="dxa"/>
            <w:tcBorders>
              <w:bottom w:val="double" w:sz="4" w:space="0" w:color="auto"/>
            </w:tcBorders>
          </w:tcPr>
          <w:p w:rsidR="0033397E" w:rsidRPr="0033397E" w:rsidRDefault="0033397E" w:rsidP="00FD2C57">
            <w:pPr>
              <w:rPr>
                <w:color w:val="FF0000"/>
              </w:rPr>
            </w:pPr>
            <w:r>
              <w:rPr>
                <w:color w:val="FF0000"/>
              </w:rPr>
              <w:t>Kultura</w:t>
            </w:r>
          </w:p>
        </w:tc>
        <w:tc>
          <w:tcPr>
            <w:tcW w:w="2303" w:type="dxa"/>
            <w:tcBorders>
              <w:bottom w:val="double" w:sz="4" w:space="0" w:color="auto"/>
            </w:tcBorders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1,08</w:t>
            </w:r>
          </w:p>
        </w:tc>
        <w:tc>
          <w:tcPr>
            <w:tcW w:w="2303" w:type="dxa"/>
            <w:tcBorders>
              <w:bottom w:val="double" w:sz="4" w:space="0" w:color="auto"/>
            </w:tcBorders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0,05</w:t>
            </w:r>
          </w:p>
        </w:tc>
        <w:tc>
          <w:tcPr>
            <w:tcW w:w="2303" w:type="dxa"/>
            <w:tcBorders>
              <w:bottom w:val="double" w:sz="4" w:space="0" w:color="auto"/>
            </w:tcBorders>
          </w:tcPr>
          <w:p w:rsidR="0033397E" w:rsidRPr="0033397E" w:rsidRDefault="0033397E" w:rsidP="00D222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0,054</w:t>
            </w:r>
          </w:p>
        </w:tc>
      </w:tr>
      <w:tr w:rsidR="0033397E" w:rsidRPr="00D222F9" w:rsidTr="0033397E">
        <w:tc>
          <w:tcPr>
            <w:tcW w:w="2303" w:type="dxa"/>
            <w:tcBorders>
              <w:top w:val="double" w:sz="4" w:space="0" w:color="auto"/>
              <w:bottom w:val="double" w:sz="4" w:space="0" w:color="auto"/>
            </w:tcBorders>
          </w:tcPr>
          <w:p w:rsidR="0033397E" w:rsidRPr="00D222F9" w:rsidRDefault="00D222F9" w:rsidP="00FD2C57">
            <w:pPr>
              <w:rPr>
                <w:b/>
                <w:color w:val="FF0000"/>
              </w:rPr>
            </w:pPr>
            <w:r w:rsidRPr="00D222F9">
              <w:rPr>
                <w:b/>
                <w:color w:val="FF0000"/>
              </w:rPr>
              <w:t>vážený průměr</w:t>
            </w:r>
          </w:p>
        </w:tc>
        <w:tc>
          <w:tcPr>
            <w:tcW w:w="2303" w:type="dxa"/>
            <w:tcBorders>
              <w:top w:val="double" w:sz="4" w:space="0" w:color="auto"/>
              <w:bottom w:val="double" w:sz="4" w:space="0" w:color="auto"/>
            </w:tcBorders>
          </w:tcPr>
          <w:p w:rsidR="0033397E" w:rsidRPr="00D222F9" w:rsidRDefault="0033397E" w:rsidP="00D222F9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303" w:type="dxa"/>
            <w:tcBorders>
              <w:top w:val="double" w:sz="4" w:space="0" w:color="auto"/>
              <w:bottom w:val="double" w:sz="4" w:space="0" w:color="auto"/>
            </w:tcBorders>
          </w:tcPr>
          <w:p w:rsidR="0033397E" w:rsidRPr="00D222F9" w:rsidRDefault="0033397E" w:rsidP="00D222F9">
            <w:pPr>
              <w:jc w:val="center"/>
              <w:rPr>
                <w:b/>
                <w:color w:val="FF0000"/>
              </w:rPr>
            </w:pPr>
            <w:r w:rsidRPr="00D222F9">
              <w:rPr>
                <w:b/>
                <w:color w:val="FF0000"/>
              </w:rPr>
              <w:t>1,00 (100 %)</w:t>
            </w:r>
          </w:p>
        </w:tc>
        <w:tc>
          <w:tcPr>
            <w:tcW w:w="2303" w:type="dxa"/>
            <w:tcBorders>
              <w:top w:val="double" w:sz="4" w:space="0" w:color="auto"/>
              <w:bottom w:val="double" w:sz="4" w:space="0" w:color="auto"/>
            </w:tcBorders>
          </w:tcPr>
          <w:p w:rsidR="0033397E" w:rsidRPr="00D222F9" w:rsidRDefault="00D222F9" w:rsidP="00D222F9">
            <w:pPr>
              <w:jc w:val="center"/>
              <w:rPr>
                <w:b/>
                <w:color w:val="FF0000"/>
              </w:rPr>
            </w:pPr>
            <w:r w:rsidRPr="00D222F9">
              <w:rPr>
                <w:b/>
                <w:color w:val="FF0000"/>
              </w:rPr>
              <w:t>1</w:t>
            </w:r>
            <w:r w:rsidR="0033397E" w:rsidRPr="00D222F9">
              <w:rPr>
                <w:b/>
                <w:color w:val="FF0000"/>
              </w:rPr>
              <w:t>,0725 (7,25 %)</w:t>
            </w:r>
          </w:p>
        </w:tc>
      </w:tr>
    </w:tbl>
    <w:p w:rsidR="0033397E" w:rsidRPr="0033397E" w:rsidRDefault="0033397E" w:rsidP="00FD2C57">
      <w:pPr>
        <w:rPr>
          <w:color w:val="FF0000"/>
          <w:u w:val="single"/>
        </w:rPr>
      </w:pPr>
    </w:p>
    <w:p w:rsidR="00FD2C57" w:rsidRDefault="00FD2C57" w:rsidP="008C7CE0">
      <w:pPr>
        <w:spacing w:after="0"/>
      </w:pPr>
      <w:r w:rsidRPr="00FD2C57">
        <w:t>Inflace úzce souvisí s přerozdělováním důchodů</w:t>
      </w:r>
      <w:r>
        <w:t>. Na inflaci vydělávají:</w:t>
      </w:r>
    </w:p>
    <w:p w:rsidR="0084047B" w:rsidRDefault="0084047B" w:rsidP="008C7CE0">
      <w:pPr>
        <w:spacing w:after="0"/>
      </w:pPr>
    </w:p>
    <w:p w:rsidR="00FD2C57" w:rsidRDefault="00FD2C57" w:rsidP="008C7CE0">
      <w:pPr>
        <w:spacing w:after="0"/>
      </w:pPr>
      <w:r>
        <w:t>- dlužníci na úkor věřitelů</w:t>
      </w:r>
    </w:p>
    <w:p w:rsidR="00FD2C57" w:rsidRDefault="00FD2C57" w:rsidP="008C7CE0">
      <w:pPr>
        <w:spacing w:after="0"/>
      </w:pPr>
      <w:r>
        <w:t>- vlastníci firem na úkor zaměstnanců</w:t>
      </w:r>
    </w:p>
    <w:p w:rsidR="00FD2C57" w:rsidRDefault="00FD2C57" w:rsidP="008C7CE0">
      <w:pPr>
        <w:spacing w:after="0"/>
      </w:pPr>
      <w:r>
        <w:t>- nájemci na úkor pronajímatelů</w:t>
      </w:r>
    </w:p>
    <w:p w:rsidR="008C7CE0" w:rsidRDefault="008C7CE0" w:rsidP="008C7CE0">
      <w:pPr>
        <w:spacing w:after="0"/>
      </w:pPr>
    </w:p>
    <w:p w:rsidR="0084047B" w:rsidRDefault="0084047B" w:rsidP="008C7CE0">
      <w:pPr>
        <w:pStyle w:val="Nadpis2"/>
      </w:pPr>
    </w:p>
    <w:p w:rsidR="00A45F5D" w:rsidRPr="00A45F5D" w:rsidRDefault="00A45F5D" w:rsidP="00A45F5D"/>
    <w:p w:rsidR="0084047B" w:rsidRPr="0084047B" w:rsidRDefault="0084047B" w:rsidP="0084047B"/>
    <w:p w:rsidR="008C7CE0" w:rsidRDefault="008C7CE0" w:rsidP="008C7CE0">
      <w:pPr>
        <w:pStyle w:val="Nadpis2"/>
      </w:pPr>
      <w:r>
        <w:lastRenderedPageBreak/>
        <w:t>Druhy inflace</w:t>
      </w:r>
    </w:p>
    <w:p w:rsidR="008C7CE0" w:rsidRDefault="008C7CE0" w:rsidP="008C7CE0">
      <w:pPr>
        <w:spacing w:after="0"/>
      </w:pPr>
    </w:p>
    <w:p w:rsidR="008C7CE0" w:rsidRDefault="008C7CE0" w:rsidP="008C7CE0">
      <w:pPr>
        <w:spacing w:after="0"/>
      </w:pPr>
      <w:r>
        <w:t>- podle závažnosti inflace:</w:t>
      </w:r>
    </w:p>
    <w:p w:rsidR="0084047B" w:rsidRDefault="0084047B" w:rsidP="008C7CE0">
      <w:pPr>
        <w:spacing w:after="0"/>
      </w:pPr>
    </w:p>
    <w:p w:rsidR="008C7CE0" w:rsidRDefault="008C7CE0" w:rsidP="008C7CE0">
      <w:pPr>
        <w:pStyle w:val="Odstavecseseznamem"/>
        <w:numPr>
          <w:ilvl w:val="0"/>
          <w:numId w:val="1"/>
        </w:numPr>
        <w:spacing w:after="0"/>
      </w:pPr>
      <w:r w:rsidRPr="0079373D">
        <w:rPr>
          <w:b/>
        </w:rPr>
        <w:t>mírná</w:t>
      </w:r>
      <w:r>
        <w:t xml:space="preserve"> – ceny rostou pomalu, jsou relativně stabilní (do 10 %), peníze plní své funkce a lidé jim důvěřují </w:t>
      </w:r>
    </w:p>
    <w:p w:rsidR="008C7CE0" w:rsidRDefault="008C7CE0" w:rsidP="008C7CE0">
      <w:pPr>
        <w:spacing w:after="0"/>
      </w:pPr>
    </w:p>
    <w:p w:rsidR="00226E7C" w:rsidRDefault="008C7CE0" w:rsidP="00226E7C">
      <w:pPr>
        <w:pStyle w:val="Odstavecseseznamem"/>
        <w:numPr>
          <w:ilvl w:val="0"/>
          <w:numId w:val="1"/>
        </w:numPr>
        <w:spacing w:after="0"/>
      </w:pPr>
      <w:r w:rsidRPr="0079373D">
        <w:rPr>
          <w:b/>
        </w:rPr>
        <w:t>pádivá</w:t>
      </w:r>
      <w:r>
        <w:t xml:space="preserve"> – úspory ztrácí na hodnotě, ceny příliš rostou (</w:t>
      </w:r>
      <w:r w:rsidR="00226E7C" w:rsidRPr="00226E7C">
        <w:t>dvou až trojciferný roční růst míry inflace)</w:t>
      </w:r>
      <w:r w:rsidR="00226E7C">
        <w:t>,</w:t>
      </w:r>
      <w:r w:rsidR="00226E7C" w:rsidRPr="00226E7C">
        <w:t xml:space="preserve"> v</w:t>
      </w:r>
      <w:r w:rsidR="00226E7C">
        <w:t>yvolává vážné ekonomické potíže, lidé přestávají věřit v domácí měnu, ukládají peníze do nemovitostí, zlata, jiných měn apod.</w:t>
      </w:r>
    </w:p>
    <w:p w:rsidR="00226E7C" w:rsidRPr="00226E7C" w:rsidRDefault="00226E7C" w:rsidP="00226E7C">
      <w:pPr>
        <w:pStyle w:val="Odstavecseseznamem"/>
        <w:spacing w:after="0"/>
        <w:ind w:left="750"/>
      </w:pPr>
      <w:r w:rsidRPr="00226E7C">
        <w:t xml:space="preserve"> </w:t>
      </w:r>
    </w:p>
    <w:p w:rsidR="00226E7C" w:rsidRDefault="0079373D" w:rsidP="00226E7C">
      <w:pPr>
        <w:pStyle w:val="Odstavecseseznamem"/>
        <w:numPr>
          <w:ilvl w:val="0"/>
          <w:numId w:val="1"/>
        </w:numPr>
        <w:spacing w:after="0"/>
      </w:pPr>
      <w:r>
        <w:rPr>
          <w:b/>
          <w:bCs/>
        </w:rPr>
        <w:t>h</w:t>
      </w:r>
      <w:r w:rsidR="00226E7C" w:rsidRPr="00226E7C">
        <w:rPr>
          <w:b/>
          <w:bCs/>
        </w:rPr>
        <w:t>yperinflace</w:t>
      </w:r>
      <w:r w:rsidR="00226E7C">
        <w:t xml:space="preserve"> – ceny se mění ze dne na den (více než trojciferný</w:t>
      </w:r>
      <w:r w:rsidR="00226E7C" w:rsidRPr="00226E7C">
        <w:t xml:space="preserve"> roční</w:t>
      </w:r>
      <w:r w:rsidR="00226E7C">
        <w:t xml:space="preserve"> růst</w:t>
      </w:r>
      <w:r w:rsidR="00226E7C" w:rsidRPr="00226E7C">
        <w:t xml:space="preserve"> míry inflace)</w:t>
      </w:r>
      <w:r w:rsidR="00226E7C">
        <w:t>,</w:t>
      </w:r>
      <w:r w:rsidR="00226E7C" w:rsidRPr="00226E7C">
        <w:t xml:space="preserve"> </w:t>
      </w:r>
      <w:r w:rsidR="00226E7C">
        <w:t>lidé nevěří penězům a vracejí se k naturální směně, peníze přestávají plnit svou funkci,</w:t>
      </w:r>
      <w:r w:rsidR="00226E7C" w:rsidRPr="00226E7C">
        <w:t xml:space="preserve"> </w:t>
      </w:r>
    </w:p>
    <w:p w:rsidR="008C7CE0" w:rsidRDefault="00226E7C" w:rsidP="00226E7C">
      <w:pPr>
        <w:ind w:left="1458" w:firstLine="666"/>
      </w:pPr>
      <w:r>
        <w:t xml:space="preserve">- </w:t>
      </w:r>
      <w:r w:rsidRPr="00226E7C">
        <w:t>v</w:t>
      </w:r>
      <w:r>
        <w:t>ede k rozpadu peněžní soustavy</w:t>
      </w:r>
    </w:p>
    <w:p w:rsidR="00226E7C" w:rsidRDefault="00226E7C" w:rsidP="0079373D">
      <w:pPr>
        <w:spacing w:after="0"/>
        <w:rPr>
          <w:i/>
        </w:rPr>
      </w:pPr>
      <w:r>
        <w:tab/>
      </w:r>
      <w:r>
        <w:rPr>
          <w:i/>
        </w:rPr>
        <w:t>(Př. Německo po 1. sv. válce až 1 000 000 %, Rusko v r. 1992 – 2 508 %, Ukrajina 2</w:t>
      </w:r>
      <w:r w:rsidR="0079373D">
        <w:rPr>
          <w:i/>
        </w:rPr>
        <w:t> </w:t>
      </w:r>
      <w:r>
        <w:rPr>
          <w:i/>
        </w:rPr>
        <w:t>730</w:t>
      </w:r>
      <w:r w:rsidR="0079373D">
        <w:rPr>
          <w:i/>
        </w:rPr>
        <w:t xml:space="preserve"> </w:t>
      </w:r>
      <w:r>
        <w:rPr>
          <w:i/>
        </w:rPr>
        <w:t>%</w:t>
      </w:r>
      <w:r w:rsidR="0079373D">
        <w:rPr>
          <w:i/>
        </w:rPr>
        <w:t>;</w:t>
      </w:r>
      <w:r>
        <w:rPr>
          <w:i/>
        </w:rPr>
        <w:t xml:space="preserve"> </w:t>
      </w:r>
    </w:p>
    <w:p w:rsidR="0079373D" w:rsidRDefault="0079373D" w:rsidP="0079373D">
      <w:pPr>
        <w:spacing w:after="0"/>
        <w:rPr>
          <w:i/>
        </w:rPr>
      </w:pPr>
      <w:r>
        <w:rPr>
          <w:i/>
        </w:rPr>
        <w:tab/>
        <w:t>u nás nejvyšší inflace (po r. 89) v r. 1991 – 58 %)</w:t>
      </w:r>
    </w:p>
    <w:p w:rsidR="00FA7193" w:rsidRPr="00226E7C" w:rsidRDefault="00A45F5D" w:rsidP="00FA7193">
      <w:pPr>
        <w:jc w:val="right"/>
      </w:pPr>
      <w:hyperlink r:id="rId7" w:history="1">
        <w:r w:rsidR="00FA7193" w:rsidRPr="00210294">
          <w:rPr>
            <w:rStyle w:val="Hypertextovodkaz"/>
          </w:rPr>
          <w:t>http://www.czso.cz/csu/redakce.nsf/i/mira_inflace</w:t>
        </w:r>
      </w:hyperlink>
      <w:r w:rsidR="00FA7193">
        <w:t xml:space="preserve"> </w:t>
      </w:r>
    </w:p>
    <w:p w:rsidR="00FA7193" w:rsidRDefault="00FA7193" w:rsidP="0079373D">
      <w:pPr>
        <w:spacing w:after="0"/>
        <w:rPr>
          <w:i/>
        </w:rPr>
      </w:pPr>
    </w:p>
    <w:p w:rsidR="00226E7C" w:rsidRDefault="0079373D" w:rsidP="00226E7C">
      <w:r>
        <w:t>- podle příčin:</w:t>
      </w:r>
    </w:p>
    <w:p w:rsidR="0079373D" w:rsidRDefault="0079373D" w:rsidP="0079373D">
      <w:pPr>
        <w:pStyle w:val="Odstavecseseznamem"/>
        <w:numPr>
          <w:ilvl w:val="0"/>
          <w:numId w:val="2"/>
        </w:numPr>
      </w:pPr>
      <w:r w:rsidRPr="0079373D">
        <w:rPr>
          <w:b/>
        </w:rPr>
        <w:t>Poptávková</w:t>
      </w:r>
      <w:r>
        <w:t xml:space="preserve"> inflace (tažená poptávkou) -  je-li v oběhu příliš peněz vzhledem k množství zboží na trhu -&gt;zvýšení agregátní poptávky -&gt; firmy zvýší cenu</w:t>
      </w:r>
    </w:p>
    <w:p w:rsidR="0079373D" w:rsidRDefault="0079373D" w:rsidP="0079373D">
      <w:pPr>
        <w:ind w:left="720"/>
      </w:pPr>
      <w:r>
        <w:t>- u nás hlídá množství peněz v oběhu ČNB</w:t>
      </w:r>
    </w:p>
    <w:p w:rsidR="0079373D" w:rsidRDefault="0079373D" w:rsidP="0079373D">
      <w:pPr>
        <w:ind w:left="720"/>
      </w:pPr>
    </w:p>
    <w:p w:rsidR="0079373D" w:rsidRDefault="0079373D" w:rsidP="0079373D">
      <w:pPr>
        <w:pStyle w:val="Odstavecseseznamem"/>
        <w:numPr>
          <w:ilvl w:val="0"/>
          <w:numId w:val="2"/>
        </w:numPr>
      </w:pPr>
      <w:r w:rsidRPr="0079373D">
        <w:rPr>
          <w:b/>
        </w:rPr>
        <w:t>Nákladová</w:t>
      </w:r>
      <w:r>
        <w:t xml:space="preserve"> (tlačená náklady) – zvyšují-li se náklady na výrobu -&gt; zvýšení cen na trhu -&gt; zaměstnanci chtějí zvýšení mezd -&gt; opět to zvýší N -&gt; opakování procesu a roztáčení inflační spirály</w:t>
      </w:r>
    </w:p>
    <w:p w:rsidR="00226E7C" w:rsidRDefault="00226E7C" w:rsidP="008C7CE0">
      <w:pPr>
        <w:spacing w:after="0"/>
      </w:pPr>
    </w:p>
    <w:p w:rsidR="00226E7C" w:rsidRPr="00226E7C" w:rsidRDefault="00226E7C" w:rsidP="00226E7C"/>
    <w:p w:rsidR="00226E7C" w:rsidRPr="00226E7C" w:rsidRDefault="00226E7C" w:rsidP="00226E7C"/>
    <w:p w:rsidR="00226E7C" w:rsidRDefault="00226E7C" w:rsidP="00226E7C"/>
    <w:p w:rsidR="0084047B" w:rsidRDefault="0084047B" w:rsidP="00226E7C">
      <w:bookmarkStart w:id="0" w:name="_GoBack"/>
      <w:bookmarkEnd w:id="0"/>
    </w:p>
    <w:p w:rsidR="0084047B" w:rsidRDefault="0084047B" w:rsidP="00226E7C"/>
    <w:p w:rsidR="0084047B" w:rsidRDefault="0084047B" w:rsidP="00226E7C"/>
    <w:p w:rsidR="0084047B" w:rsidRDefault="0084047B" w:rsidP="0084047B">
      <w:pPr>
        <w:rPr>
          <w:rFonts w:ascii="Calibri" w:hAnsi="Calibri"/>
          <w:i/>
        </w:rPr>
      </w:pPr>
      <w:r>
        <w:rPr>
          <w:rFonts w:ascii="Calibri" w:hAnsi="Calibri"/>
          <w:i/>
        </w:rPr>
        <w:t>Použité zdroje:</w:t>
      </w:r>
    </w:p>
    <w:p w:rsidR="0084047B" w:rsidRPr="0084047B" w:rsidRDefault="0084047B" w:rsidP="00226E7C">
      <w:pPr>
        <w:rPr>
          <w:rFonts w:ascii="Times New Roman" w:hAnsi="Times New Roman"/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>. 1. vyd. Praha: Fortuna, 2010, 175 s. ISBN 978-80-7373-062-8.</w:t>
      </w:r>
    </w:p>
    <w:sectPr w:rsidR="0084047B" w:rsidRPr="0084047B" w:rsidSect="00793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B6AE3"/>
    <w:multiLevelType w:val="hybridMultilevel"/>
    <w:tmpl w:val="E898BD9A"/>
    <w:lvl w:ilvl="0" w:tplc="0405000F">
      <w:start w:val="1"/>
      <w:numFmt w:val="decimal"/>
      <w:lvlText w:val="%1."/>
      <w:lvlJc w:val="left"/>
      <w:pPr>
        <w:ind w:left="750" w:hanging="360"/>
      </w:pPr>
    </w:lvl>
    <w:lvl w:ilvl="1" w:tplc="04050019">
      <w:start w:val="1"/>
      <w:numFmt w:val="lowerLetter"/>
      <w:lvlText w:val="%2."/>
      <w:lvlJc w:val="left"/>
      <w:pPr>
        <w:ind w:left="1470" w:hanging="360"/>
      </w:pPr>
    </w:lvl>
    <w:lvl w:ilvl="2" w:tplc="0405001B">
      <w:start w:val="1"/>
      <w:numFmt w:val="lowerRoman"/>
      <w:lvlText w:val="%3."/>
      <w:lvlJc w:val="right"/>
      <w:pPr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66ED53EC"/>
    <w:multiLevelType w:val="hybridMultilevel"/>
    <w:tmpl w:val="CA3AA2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D46AD"/>
    <w:rsid w:val="00226E7C"/>
    <w:rsid w:val="002D46AD"/>
    <w:rsid w:val="0033397E"/>
    <w:rsid w:val="0034233C"/>
    <w:rsid w:val="003B3383"/>
    <w:rsid w:val="004029F0"/>
    <w:rsid w:val="00660B14"/>
    <w:rsid w:val="0079373D"/>
    <w:rsid w:val="0084047B"/>
    <w:rsid w:val="008C0DA8"/>
    <w:rsid w:val="008C7CE0"/>
    <w:rsid w:val="00A45F5D"/>
    <w:rsid w:val="00B2261A"/>
    <w:rsid w:val="00D222F9"/>
    <w:rsid w:val="00D433F2"/>
    <w:rsid w:val="00FA7193"/>
    <w:rsid w:val="00FD1A48"/>
    <w:rsid w:val="00FD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D3D4D-5578-4D1B-9B5A-1B1CE2B82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2261A"/>
  </w:style>
  <w:style w:type="paragraph" w:styleId="Nadpis1">
    <w:name w:val="heading 1"/>
    <w:basedOn w:val="Normln"/>
    <w:next w:val="Normln"/>
    <w:link w:val="Nadpis1Char"/>
    <w:uiPriority w:val="9"/>
    <w:qFormat/>
    <w:rsid w:val="002D46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D2C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D46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3B3383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FD2C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8C7CE0"/>
    <w:pPr>
      <w:ind w:left="720"/>
      <w:contextualSpacing/>
    </w:pPr>
  </w:style>
  <w:style w:type="table" w:styleId="Mkatabulky">
    <w:name w:val="Table Grid"/>
    <w:basedOn w:val="Normlntabulka"/>
    <w:uiPriority w:val="59"/>
    <w:rsid w:val="00333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3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zso.cz/csu/redakce.nsf/i/mira_infla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so.cz/csu/redakce.nsf/i/spotrebni_kos_2013/$File/spot_kos2013.pd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554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5</cp:revision>
  <dcterms:created xsi:type="dcterms:W3CDTF">2013-10-11T06:35:00Z</dcterms:created>
  <dcterms:modified xsi:type="dcterms:W3CDTF">2014-06-16T19:39:00Z</dcterms:modified>
</cp:coreProperties>
</file>