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38A" w:rsidRDefault="007A238A" w:rsidP="007A238A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9525" b="0"/>
            <wp:docPr id="2" name="Obrázek 2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38A" w:rsidRDefault="007A238A" w:rsidP="007A238A">
      <w:pPr>
        <w:jc w:val="center"/>
        <w:rPr>
          <w:rFonts w:ascii="Calibri" w:eastAsia="Calibri" w:hAnsi="Calibri"/>
          <w:lang w:eastAsia="en-US"/>
        </w:rPr>
      </w:pPr>
    </w:p>
    <w:p w:rsidR="007A238A" w:rsidRDefault="007A238A" w:rsidP="007A238A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7A238A" w:rsidRDefault="007A238A" w:rsidP="007A238A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7A238A" w:rsidRDefault="007A238A" w:rsidP="007A238A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7A238A" w:rsidRDefault="007A238A" w:rsidP="007A238A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7A238A" w:rsidRDefault="007A238A" w:rsidP="007A238A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5843"/>
      </w:tblGrid>
      <w:tr w:rsidR="007A238A" w:rsidTr="007A238A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38A" w:rsidRDefault="007A238A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A238A" w:rsidRDefault="007A238A">
            <w:pPr>
              <w:jc w:val="center"/>
              <w:rPr>
                <w:rFonts w:ascii="Calibri" w:eastAsia="Times New Roman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7A238A" w:rsidTr="007A238A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38A" w:rsidRDefault="007A238A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A238A" w:rsidRDefault="007A238A" w:rsidP="007A238A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12</w:t>
            </w:r>
            <w:r>
              <w:rPr>
                <w:rFonts w:ascii="Calibri" w:hAnsi="Calibri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smallCaps/>
                <w:sz w:val="28"/>
                <w:szCs w:val="28"/>
              </w:rPr>
              <w:t>měnová politika</w:t>
            </w:r>
          </w:p>
        </w:tc>
      </w:tr>
      <w:tr w:rsidR="007A238A" w:rsidTr="007A238A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38A" w:rsidRDefault="007A238A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A238A" w:rsidRDefault="007A238A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  <w:sz w:val="24"/>
                <w:szCs w:val="24"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7A238A" w:rsidTr="007A238A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38A" w:rsidRDefault="007A238A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A238A" w:rsidRDefault="007A23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7A238A" w:rsidTr="007A238A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38A" w:rsidRDefault="007A238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A238A" w:rsidRDefault="007A23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7A238A" w:rsidTr="007A238A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38A" w:rsidRDefault="007A238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A238A" w:rsidRDefault="007A23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II. ročník nástavbového studia, maturitní obor Společné stravování</w:t>
            </w:r>
          </w:p>
        </w:tc>
      </w:tr>
      <w:tr w:rsidR="007A238A" w:rsidTr="007A238A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38A" w:rsidRDefault="007A238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A238A" w:rsidRDefault="007A23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listopad</w:t>
            </w:r>
            <w:r>
              <w:rPr>
                <w:sz w:val="28"/>
                <w:szCs w:val="28"/>
              </w:rPr>
              <w:t xml:space="preserve"> 2013</w:t>
            </w:r>
          </w:p>
        </w:tc>
      </w:tr>
    </w:tbl>
    <w:p w:rsidR="007A238A" w:rsidRDefault="007A238A" w:rsidP="007A238A">
      <w:pPr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7A238A" w:rsidRDefault="007A238A" w:rsidP="007A238A">
      <w:pPr>
        <w:rPr>
          <w:rFonts w:ascii="Calibri" w:eastAsia="Calibri" w:hAnsi="Calibri"/>
          <w:smallCaps/>
          <w:sz w:val="52"/>
          <w:lang w:eastAsia="en-US"/>
        </w:rPr>
      </w:pPr>
    </w:p>
    <w:p w:rsidR="007A238A" w:rsidRDefault="007A238A" w:rsidP="007A238A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7A238A" w:rsidRDefault="007A238A" w:rsidP="007A238A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a podnikání v 2. ročníku pro studijní obor 65-41-L/51 Gastronomie, ŠVP: Společné stravování.</w:t>
      </w:r>
    </w:p>
    <w:p w:rsidR="007A238A" w:rsidRDefault="007A238A" w:rsidP="007A238A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vysvětluje </w:t>
      </w:r>
      <w:r>
        <w:rPr>
          <w:rFonts w:ascii="Calibri" w:eastAsia="Calibri" w:hAnsi="Calibri"/>
          <w:sz w:val="28"/>
          <w:szCs w:val="28"/>
          <w:lang w:eastAsia="en-US"/>
        </w:rPr>
        <w:t xml:space="preserve">měnovou politiku státu prostřednictvím centrální banky, její cíle, typy a význam, </w:t>
      </w:r>
      <w:r>
        <w:rPr>
          <w:rFonts w:ascii="Calibri" w:eastAsia="Calibri" w:hAnsi="Calibri"/>
          <w:sz w:val="28"/>
          <w:szCs w:val="28"/>
          <w:lang w:eastAsia="en-US"/>
        </w:rPr>
        <w:t xml:space="preserve">přímé a nepřímé </w:t>
      </w:r>
      <w:r>
        <w:rPr>
          <w:rFonts w:ascii="Calibri" w:eastAsia="Calibri" w:hAnsi="Calibri"/>
          <w:sz w:val="28"/>
          <w:szCs w:val="28"/>
          <w:lang w:eastAsia="en-US"/>
        </w:rPr>
        <w:t>nástroje k jejímu prosazování.</w:t>
      </w:r>
      <w:bookmarkStart w:id="0" w:name="_GoBack"/>
      <w:bookmarkEnd w:id="0"/>
    </w:p>
    <w:p w:rsidR="007A238A" w:rsidRDefault="007A238A" w:rsidP="007A238A">
      <w:pPr>
        <w:rPr>
          <w:rFonts w:ascii="Calibri" w:eastAsia="Calibri" w:hAnsi="Calibri"/>
          <w:sz w:val="28"/>
          <w:szCs w:val="28"/>
          <w:lang w:eastAsia="en-US"/>
        </w:rPr>
      </w:pPr>
    </w:p>
    <w:p w:rsidR="007A238A" w:rsidRDefault="007A238A" w:rsidP="007A238A">
      <w:pPr>
        <w:rPr>
          <w:rFonts w:ascii="Calibri" w:eastAsia="Calibri" w:hAnsi="Calibri"/>
          <w:b/>
          <w:bCs/>
          <w:smallCaps/>
          <w:sz w:val="52"/>
          <w:szCs w:val="24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7A238A" w:rsidRDefault="007A238A" w:rsidP="007A238A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7A238A" w:rsidRDefault="007A238A" w:rsidP="007A238A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7A238A" w:rsidRDefault="007A238A" w:rsidP="007A238A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7A238A" w:rsidRDefault="007A238A" w:rsidP="007A238A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7A238A" w:rsidRDefault="007A238A" w:rsidP="007A238A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7A238A" w:rsidRDefault="007A238A" w:rsidP="007A238A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7A238A" w:rsidRDefault="007A238A" w:rsidP="007A238A">
      <w:pPr>
        <w:rPr>
          <w:rFonts w:ascii="Calibri" w:eastAsia="Calibri" w:hAnsi="Calibri"/>
          <w:smallCaps/>
          <w:sz w:val="52"/>
          <w:lang w:eastAsia="en-US"/>
        </w:rPr>
      </w:pPr>
    </w:p>
    <w:p w:rsidR="002D64EA" w:rsidRDefault="00D66708" w:rsidP="004E3760">
      <w:pPr>
        <w:pStyle w:val="Nadpis1"/>
        <w:spacing w:before="0" w:after="240"/>
      </w:pPr>
      <w:r>
        <w:lastRenderedPageBreak/>
        <w:t>MĚNOVÁ (MONETÁRNÍ) POLITIKA</w:t>
      </w:r>
    </w:p>
    <w:p w:rsidR="00D66708" w:rsidRPr="00DE6328" w:rsidRDefault="00D66708" w:rsidP="004E3760">
      <w:pPr>
        <w:spacing w:after="240"/>
        <w:rPr>
          <w:sz w:val="24"/>
          <w:szCs w:val="24"/>
        </w:rPr>
      </w:pPr>
      <w:r w:rsidRPr="00DE6328">
        <w:rPr>
          <w:sz w:val="24"/>
          <w:szCs w:val="24"/>
        </w:rPr>
        <w:t>= činnosti směřující k regulaci množství peněz v ekonomice s cílem stability cenové hladiny.</w:t>
      </w:r>
    </w:p>
    <w:p w:rsidR="00D66708" w:rsidRPr="00DE6328" w:rsidRDefault="00D66708">
      <w:pPr>
        <w:rPr>
          <w:sz w:val="24"/>
          <w:szCs w:val="24"/>
        </w:rPr>
      </w:pPr>
      <w:r w:rsidRPr="00DE6328">
        <w:rPr>
          <w:sz w:val="24"/>
          <w:szCs w:val="24"/>
        </w:rPr>
        <w:t>Dalšími cíli jsou podpora ek. růstu, zaměstnanosti, stabilita měnového kurzu.</w:t>
      </w:r>
    </w:p>
    <w:p w:rsidR="00D66708" w:rsidRPr="00DE6328" w:rsidRDefault="00D66708">
      <w:pPr>
        <w:rPr>
          <w:sz w:val="24"/>
          <w:szCs w:val="24"/>
        </w:rPr>
      </w:pPr>
      <w:r w:rsidRPr="00DE6328">
        <w:rPr>
          <w:sz w:val="24"/>
          <w:szCs w:val="24"/>
        </w:rPr>
        <w:t>Tuto politiku provádí centrální banka, tj. ČNB. Ta je (nebo by měla být) nezávislá na vládě a parlamentu.</w:t>
      </w:r>
      <w:r w:rsidR="002108DE" w:rsidRPr="00DE6328">
        <w:rPr>
          <w:sz w:val="24"/>
          <w:szCs w:val="24"/>
        </w:rPr>
        <w:t xml:space="preserve"> (Pokud je centrální banka na vládě závislá, přizpůsobuje se zájmům SR a vláda financuje schodky rozpočtu půjčkami od centrální banky, čímž vyvolává inflaci.)</w:t>
      </w:r>
    </w:p>
    <w:p w:rsidR="00304BF0" w:rsidRDefault="00304BF0">
      <w:pPr>
        <w:rPr>
          <w:sz w:val="24"/>
          <w:szCs w:val="24"/>
          <w:u w:val="single"/>
        </w:rPr>
      </w:pPr>
    </w:p>
    <w:p w:rsidR="002108DE" w:rsidRPr="00DE6328" w:rsidRDefault="002108DE">
      <w:pPr>
        <w:rPr>
          <w:sz w:val="24"/>
          <w:szCs w:val="24"/>
          <w:u w:val="single"/>
        </w:rPr>
      </w:pPr>
      <w:r w:rsidRPr="00DE6328">
        <w:rPr>
          <w:sz w:val="24"/>
          <w:szCs w:val="24"/>
          <w:u w:val="single"/>
        </w:rPr>
        <w:t>Cíle ČNB lze rozdělit na:</w:t>
      </w:r>
    </w:p>
    <w:p w:rsidR="002108DE" w:rsidRPr="00DE6328" w:rsidRDefault="002108DE" w:rsidP="002D6AD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E6328">
        <w:rPr>
          <w:b/>
          <w:sz w:val="24"/>
          <w:szCs w:val="24"/>
        </w:rPr>
        <w:t>Konečné</w:t>
      </w:r>
      <w:r w:rsidRPr="00DE6328">
        <w:rPr>
          <w:sz w:val="24"/>
          <w:szCs w:val="24"/>
        </w:rPr>
        <w:t>: nízká inflace, nezaměstnanost a vyrovnaná obchodní bilance</w:t>
      </w:r>
    </w:p>
    <w:p w:rsidR="002108DE" w:rsidRPr="00DE6328" w:rsidRDefault="002108DE" w:rsidP="002D6AD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E6328">
        <w:rPr>
          <w:b/>
          <w:sz w:val="24"/>
          <w:szCs w:val="24"/>
        </w:rPr>
        <w:t>Dílčí</w:t>
      </w:r>
      <w:r w:rsidRPr="00DE6328">
        <w:rPr>
          <w:sz w:val="24"/>
          <w:szCs w:val="24"/>
        </w:rPr>
        <w:t xml:space="preserve"> (zprostředkující): výše peněžní zásoby, úroková míra, měnový kurz</w:t>
      </w:r>
    </w:p>
    <w:p w:rsidR="002108DE" w:rsidRDefault="002108DE"/>
    <w:p w:rsidR="00304BF0" w:rsidRDefault="00304BF0"/>
    <w:p w:rsidR="002108DE" w:rsidRDefault="002108DE" w:rsidP="002D6AD4">
      <w:pPr>
        <w:pStyle w:val="Nadpis2"/>
        <w:spacing w:before="0" w:after="240"/>
      </w:pPr>
      <w:r>
        <w:t>Typy měnové politiky</w:t>
      </w:r>
    </w:p>
    <w:p w:rsidR="00304BF0" w:rsidRPr="00304BF0" w:rsidRDefault="00304BF0" w:rsidP="00304BF0"/>
    <w:p w:rsidR="002108DE" w:rsidRPr="00DE6328" w:rsidRDefault="002108DE" w:rsidP="002D6AD4">
      <w:pPr>
        <w:spacing w:after="240"/>
        <w:rPr>
          <w:sz w:val="24"/>
          <w:szCs w:val="24"/>
        </w:rPr>
      </w:pPr>
      <w:r w:rsidRPr="00DE6328">
        <w:rPr>
          <w:b/>
          <w:sz w:val="24"/>
          <w:szCs w:val="24"/>
          <w:u w:val="single"/>
        </w:rPr>
        <w:t>Expanzivní</w:t>
      </w:r>
      <w:r w:rsidRPr="00DE6328">
        <w:rPr>
          <w:sz w:val="24"/>
          <w:szCs w:val="24"/>
        </w:rPr>
        <w:t xml:space="preserve"> – uplatní se v období rozmachu ekonomiky, podporuje její růst.</w:t>
      </w:r>
    </w:p>
    <w:p w:rsidR="002108DE" w:rsidRPr="00DE6328" w:rsidRDefault="002108DE">
      <w:pPr>
        <w:rPr>
          <w:sz w:val="24"/>
          <w:szCs w:val="24"/>
        </w:rPr>
      </w:pPr>
      <w:r w:rsidRPr="00DE6328">
        <w:rPr>
          <w:sz w:val="24"/>
          <w:szCs w:val="24"/>
        </w:rPr>
        <w:tab/>
      </w:r>
      <w:r w:rsidRPr="00DE6328">
        <w:rPr>
          <w:sz w:val="24"/>
          <w:szCs w:val="24"/>
        </w:rPr>
        <w:tab/>
        <w:t>-&gt; zvyšuje peněžní zásobu a snižuje úrokovou míru, tím sníží nezaměstnanost, ale zvýší inflaci a zlepší obchodní bilanci se zahraničím</w:t>
      </w:r>
    </w:p>
    <w:p w:rsidR="002108DE" w:rsidRPr="00DE6328" w:rsidRDefault="002108DE">
      <w:pPr>
        <w:rPr>
          <w:sz w:val="24"/>
          <w:szCs w:val="24"/>
        </w:rPr>
      </w:pPr>
      <w:r w:rsidRPr="00DE6328">
        <w:rPr>
          <w:b/>
          <w:sz w:val="24"/>
          <w:szCs w:val="24"/>
          <w:u w:val="single"/>
        </w:rPr>
        <w:t>Restriktivní</w:t>
      </w:r>
      <w:r w:rsidRPr="00DE6328">
        <w:rPr>
          <w:sz w:val="24"/>
          <w:szCs w:val="24"/>
        </w:rPr>
        <w:t xml:space="preserve"> –</w:t>
      </w:r>
      <w:r w:rsidR="004E3760" w:rsidRPr="00DE6328">
        <w:rPr>
          <w:sz w:val="24"/>
          <w:szCs w:val="24"/>
        </w:rPr>
        <w:t xml:space="preserve"> brzdí ekonomický růst</w:t>
      </w:r>
    </w:p>
    <w:p w:rsidR="004E3760" w:rsidRPr="00DE6328" w:rsidRDefault="004E3760">
      <w:pPr>
        <w:rPr>
          <w:sz w:val="24"/>
          <w:szCs w:val="24"/>
        </w:rPr>
      </w:pPr>
      <w:r w:rsidRPr="00DE6328">
        <w:rPr>
          <w:sz w:val="24"/>
          <w:szCs w:val="24"/>
        </w:rPr>
        <w:tab/>
      </w:r>
      <w:r w:rsidRPr="00DE6328">
        <w:rPr>
          <w:sz w:val="24"/>
          <w:szCs w:val="24"/>
        </w:rPr>
        <w:tab/>
        <w:t>-&gt; snižuje peněžní zásobu a zvyšuje úrokovou míru, tím sníží inflaci, ale zvýší nezaměstnanost a zhorší obchodní bilanci se zahraničím.</w:t>
      </w:r>
    </w:p>
    <w:p w:rsidR="002D6AD4" w:rsidRPr="00DE6328" w:rsidRDefault="002D6AD4">
      <w:pPr>
        <w:rPr>
          <w:sz w:val="24"/>
          <w:szCs w:val="24"/>
        </w:rPr>
      </w:pPr>
    </w:p>
    <w:p w:rsidR="004E3760" w:rsidRPr="00DE6328" w:rsidRDefault="004E3760">
      <w:pPr>
        <w:rPr>
          <w:sz w:val="24"/>
          <w:szCs w:val="24"/>
        </w:rPr>
      </w:pPr>
      <w:r w:rsidRPr="00DE6328">
        <w:rPr>
          <w:sz w:val="24"/>
          <w:szCs w:val="24"/>
        </w:rPr>
        <w:t>Měnová politika není schopna dosáhnout současně všech svých konečných cílů. Působí na výši agregátních výdajů a tím i na HDP. Proto se v době expanze uplatňuje restriktivní a v době recese expanzivní měnová politika.</w:t>
      </w:r>
    </w:p>
    <w:p w:rsidR="004E3760" w:rsidRPr="00DE6328" w:rsidRDefault="004E3760">
      <w:pPr>
        <w:rPr>
          <w:sz w:val="24"/>
          <w:szCs w:val="24"/>
        </w:rPr>
      </w:pPr>
      <w:r w:rsidRPr="00DE6328">
        <w:rPr>
          <w:sz w:val="24"/>
          <w:szCs w:val="24"/>
        </w:rPr>
        <w:t>V posledních letech se ve vyspělých zemích jako hlavní cíl měn. pol. upřednostňuje vnitřní stabilita měny, až následně podpora ek. růstu a stabilita měnového kurzu.</w:t>
      </w:r>
    </w:p>
    <w:p w:rsidR="004E3760" w:rsidRDefault="004E3760"/>
    <w:p w:rsidR="00304BF0" w:rsidRDefault="00304BF0"/>
    <w:p w:rsidR="004E3760" w:rsidRDefault="004E3760" w:rsidP="002D6AD4">
      <w:pPr>
        <w:pStyle w:val="Nadpis2"/>
      </w:pPr>
      <w:r>
        <w:lastRenderedPageBreak/>
        <w:t>Nástroje měnové politiky</w:t>
      </w:r>
    </w:p>
    <w:p w:rsidR="002D6AD4" w:rsidRPr="002D6AD4" w:rsidRDefault="002D6AD4" w:rsidP="002D6AD4"/>
    <w:p w:rsidR="00DE6328" w:rsidRPr="00DE6328" w:rsidRDefault="002D6AD4" w:rsidP="002D6AD4">
      <w:pPr>
        <w:rPr>
          <w:b/>
          <w:sz w:val="24"/>
          <w:szCs w:val="24"/>
        </w:rPr>
      </w:pPr>
      <w:r w:rsidRPr="00DE6328">
        <w:rPr>
          <w:b/>
          <w:sz w:val="24"/>
          <w:szCs w:val="24"/>
        </w:rPr>
        <w:t>- podle adresnosti přímé (adresné) a nepřímé (obecné, neadresné)</w:t>
      </w:r>
    </w:p>
    <w:p w:rsidR="002D6AD4" w:rsidRPr="00DE6328" w:rsidRDefault="002D6AD4" w:rsidP="00DE6328">
      <w:pPr>
        <w:pStyle w:val="Nadpis3"/>
        <w:jc w:val="center"/>
      </w:pPr>
      <w:r w:rsidRPr="00DE6328">
        <w:t>Přímé měnové nástroje</w:t>
      </w:r>
    </w:p>
    <w:p w:rsidR="002D6AD4" w:rsidRPr="002D6AD4" w:rsidRDefault="002D6AD4" w:rsidP="002D6AD4">
      <w:r>
        <w:rPr>
          <w:noProof/>
        </w:rPr>
        <w:drawing>
          <wp:inline distT="0" distB="0" distL="0" distR="0">
            <wp:extent cx="5486400" cy="2085975"/>
            <wp:effectExtent l="38100" t="0" r="190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DE6328" w:rsidRDefault="00DE6328" w:rsidP="00DE6328">
      <w:pPr>
        <w:rPr>
          <w:sz w:val="24"/>
          <w:szCs w:val="24"/>
        </w:rPr>
      </w:pPr>
      <w:r w:rsidRPr="00DE6328">
        <w:rPr>
          <w:sz w:val="24"/>
          <w:szCs w:val="24"/>
        </w:rPr>
        <w:t>= administrativní opatření, která by měla být používána jen v nutnosti a krátkodobě.</w:t>
      </w:r>
    </w:p>
    <w:p w:rsidR="00DE6328" w:rsidRPr="00972FA2" w:rsidRDefault="00972FA2" w:rsidP="00DE6328">
      <w:pPr>
        <w:rPr>
          <w:i/>
          <w:sz w:val="24"/>
          <w:szCs w:val="24"/>
        </w:rPr>
      </w:pPr>
      <w:r w:rsidRPr="00972FA2">
        <w:rPr>
          <w:i/>
          <w:sz w:val="24"/>
          <w:szCs w:val="24"/>
        </w:rPr>
        <w:t>Pozn.: ČNB v</w:t>
      </w:r>
      <w:r w:rsidRPr="00972FA2">
        <w:rPr>
          <w:bCs/>
          <w:i/>
        </w:rPr>
        <w:t>ede</w:t>
      </w:r>
      <w:r w:rsidRPr="00972FA2">
        <w:rPr>
          <w:i/>
        </w:rPr>
        <w:t xml:space="preserve"> </w:t>
      </w:r>
      <w:r w:rsidRPr="00972FA2">
        <w:rPr>
          <w:bCs/>
          <w:i/>
        </w:rPr>
        <w:t>účty</w:t>
      </w:r>
      <w:r w:rsidRPr="00972FA2">
        <w:rPr>
          <w:i/>
        </w:rPr>
        <w:t xml:space="preserve"> státním organizacím napojených na státní rozpočet.</w:t>
      </w:r>
    </w:p>
    <w:p w:rsidR="00DE6328" w:rsidRDefault="00DE6328" w:rsidP="00DE6328">
      <w:pPr>
        <w:rPr>
          <w:sz w:val="24"/>
          <w:szCs w:val="24"/>
        </w:rPr>
      </w:pPr>
    </w:p>
    <w:p w:rsidR="00F90D38" w:rsidRPr="00DE6328" w:rsidRDefault="00F90D38" w:rsidP="00F90D38">
      <w:pPr>
        <w:pStyle w:val="Nadpis3"/>
        <w:jc w:val="center"/>
      </w:pPr>
      <w:r>
        <w:t>Nep</w:t>
      </w:r>
      <w:r w:rsidRPr="00DE6328">
        <w:t>římé měnové nástroje</w:t>
      </w:r>
    </w:p>
    <w:p w:rsidR="00F90D38" w:rsidRPr="00DE6328" w:rsidRDefault="00F90D38" w:rsidP="00DE6328">
      <w:pPr>
        <w:rPr>
          <w:sz w:val="24"/>
          <w:szCs w:val="24"/>
        </w:rPr>
      </w:pPr>
    </w:p>
    <w:p w:rsidR="002D6AD4" w:rsidRDefault="00F90D38" w:rsidP="002D6AD4">
      <w:r>
        <w:t>- působí plošně na všechny subjekty finančního trhu</w:t>
      </w:r>
    </w:p>
    <w:p w:rsidR="00F90D38" w:rsidRDefault="00F90D38" w:rsidP="007B31F8">
      <w:pPr>
        <w:pStyle w:val="Odstavecseseznamem"/>
        <w:numPr>
          <w:ilvl w:val="0"/>
          <w:numId w:val="2"/>
        </w:numPr>
      </w:pPr>
      <w:r w:rsidRPr="00C779C6">
        <w:rPr>
          <w:b/>
        </w:rPr>
        <w:t>Diskontní sazba</w:t>
      </w:r>
      <w:r>
        <w:t xml:space="preserve"> = úrok, za který půjčuje CB obchodním bankám</w:t>
      </w:r>
      <w:r w:rsidR="00ED76CE">
        <w:t xml:space="preserve"> -&gt; tím se mění i úrokové sazby pro vklady a úvěry jednotlivých obch. </w:t>
      </w:r>
      <w:r w:rsidR="007B31F8">
        <w:t>bank</w:t>
      </w:r>
      <w:r w:rsidR="00F94807">
        <w:t xml:space="preserve"> (např. od 2. 11. 2012 činí 0,05 %)</w:t>
      </w:r>
    </w:p>
    <w:p w:rsidR="00ED76CE" w:rsidRDefault="007B31F8" w:rsidP="002D6AD4">
      <w:r>
        <w:t>a) zvýšení sazby -&gt; obch. banky si půjčují méně, tím se snižuje množství peněz v oběhu a tlumí růst (zdražení peněz, snížení objemu úvěrů bank, zpomalení oběhu peněz -&gt; restriktivní, protiinflační měn. pol.)</w:t>
      </w:r>
    </w:p>
    <w:p w:rsidR="007B31F8" w:rsidRDefault="007B31F8" w:rsidP="002D6AD4">
      <w:r>
        <w:t>b) snížení sazby -&gt; kom banky si půjčují více, tím se zvyšuje množství peněz v oběhu a tlumí krize (zlevnění peněz, vzrůst objemu úvěrů bank, zrychlení oběhu peněz -&gt; expanzivní měn. pol.)</w:t>
      </w:r>
    </w:p>
    <w:p w:rsidR="000B4812" w:rsidRDefault="00207ED6" w:rsidP="000B4812">
      <w:pPr>
        <w:pStyle w:val="Odstavecseseznamem"/>
        <w:numPr>
          <w:ilvl w:val="0"/>
          <w:numId w:val="2"/>
        </w:numPr>
        <w:spacing w:after="0"/>
      </w:pPr>
      <w:r w:rsidRPr="00C779C6">
        <w:rPr>
          <w:b/>
        </w:rPr>
        <w:t>Repo sazba</w:t>
      </w:r>
      <w:r>
        <w:t xml:space="preserve"> </w:t>
      </w:r>
      <w:r w:rsidR="000B4812">
        <w:t xml:space="preserve">(2T) </w:t>
      </w:r>
      <w:r w:rsidR="004A630F">
        <w:t xml:space="preserve">= úrok, za který centrální banka od komerčních bank odkupuje jimi eskontované směnky při reeskontu </w:t>
      </w:r>
      <w:r w:rsidR="000B4812">
        <w:t>(</w:t>
      </w:r>
      <w:r>
        <w:t xml:space="preserve">při odkupování (eskontu) </w:t>
      </w:r>
      <w:r w:rsidR="000B4812">
        <w:t xml:space="preserve">obch. bank </w:t>
      </w:r>
      <w:r>
        <w:t>směnek od svých klientů před dobou jejich splatnosti</w:t>
      </w:r>
      <w:r w:rsidR="000B4812">
        <w:t xml:space="preserve">); </w:t>
      </w:r>
    </w:p>
    <w:p w:rsidR="000B4812" w:rsidRDefault="000B4812" w:rsidP="000B4812">
      <w:pPr>
        <w:ind w:firstLine="708"/>
      </w:pPr>
      <w:r>
        <w:t xml:space="preserve">- je platná 2 týdny a bývá vyšší než diskontní sazba (např. </w:t>
      </w:r>
      <w:r w:rsidR="00F94807">
        <w:t>od</w:t>
      </w:r>
      <w:r>
        <w:t> 2. 11</w:t>
      </w:r>
      <w:r w:rsidR="00F94807">
        <w:t>. 2012 činí</w:t>
      </w:r>
      <w:r>
        <w:t xml:space="preserve"> 0,05 %)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0B4812" w:rsidRPr="000B4812" w:rsidTr="000B48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4812" w:rsidRPr="000B4812" w:rsidRDefault="000B4812" w:rsidP="000B4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4812" w:rsidRPr="000B4812" w:rsidRDefault="000B4812" w:rsidP="000B4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94807" w:rsidRDefault="000B4812" w:rsidP="007B31F8">
      <w:pPr>
        <w:pStyle w:val="Odstavecseseznamem"/>
        <w:numPr>
          <w:ilvl w:val="0"/>
          <w:numId w:val="2"/>
        </w:numPr>
      </w:pPr>
      <w:r w:rsidRPr="00C779C6">
        <w:rPr>
          <w:b/>
        </w:rPr>
        <w:t>Lombardní sazba</w:t>
      </w:r>
      <w:r>
        <w:t xml:space="preserve"> = </w:t>
      </w:r>
      <w:r w:rsidR="00F94807" w:rsidRPr="00F94807">
        <w:t>sazba, za kterou si obchodní banky mohou půjčit u centrální banky peníze oproti zástavě cenných papírů</w:t>
      </w:r>
      <w:r w:rsidR="00F94807">
        <w:t xml:space="preserve"> (-&gt; lombardní úvěr)</w:t>
      </w:r>
    </w:p>
    <w:p w:rsidR="000B4812" w:rsidRDefault="00F94807" w:rsidP="00F94807">
      <w:pPr>
        <w:pStyle w:val="Odstavecseseznamem"/>
      </w:pPr>
      <w:r>
        <w:t>- bývá vyšší než diskontní nebo repo sazba</w:t>
      </w:r>
      <w:r w:rsidRPr="00F94807">
        <w:t xml:space="preserve"> </w:t>
      </w:r>
      <w:r>
        <w:t>(např. od 2. 11. 2012 činí 0,25 %)</w:t>
      </w:r>
    </w:p>
    <w:p w:rsidR="00F94807" w:rsidRDefault="00F94807" w:rsidP="00F94807">
      <w:pPr>
        <w:pStyle w:val="Odstavecseseznamem"/>
      </w:pPr>
    </w:p>
    <w:p w:rsidR="00F94807" w:rsidRDefault="00F94807" w:rsidP="007B31F8">
      <w:pPr>
        <w:pStyle w:val="Odstavecseseznamem"/>
        <w:numPr>
          <w:ilvl w:val="0"/>
          <w:numId w:val="2"/>
        </w:numPr>
      </w:pPr>
      <w:r w:rsidRPr="00C779C6">
        <w:rPr>
          <w:b/>
        </w:rPr>
        <w:lastRenderedPageBreak/>
        <w:t>Operace na volném trhu</w:t>
      </w:r>
      <w:r>
        <w:t xml:space="preserve"> </w:t>
      </w:r>
      <w:r w:rsidR="007837E4">
        <w:t>–</w:t>
      </w:r>
      <w:r>
        <w:t xml:space="preserve"> </w:t>
      </w:r>
      <w:r w:rsidR="007837E4">
        <w:t>CB nakupuje a prodává na volném peněžním trhu státní cenné papíry</w:t>
      </w:r>
    </w:p>
    <w:p w:rsidR="007837E4" w:rsidRDefault="007837E4" w:rsidP="007837E4">
      <w:r>
        <w:t>a) prodej státních cen. pap. -&gt; odčerpávání peněz z</w:t>
      </w:r>
      <w:r w:rsidR="00FF2303">
        <w:t> </w:t>
      </w:r>
      <w:r>
        <w:t>oběhu</w:t>
      </w:r>
      <w:r w:rsidR="00FF2303">
        <w:t xml:space="preserve"> (restr. mon. pol.)</w:t>
      </w:r>
    </w:p>
    <w:p w:rsidR="007837E4" w:rsidRDefault="007837E4" w:rsidP="007837E4">
      <w:r>
        <w:t>b) nákup státních cen. pap. -&gt; zvyšování peněz v</w:t>
      </w:r>
      <w:r w:rsidR="00FF2303">
        <w:t> </w:t>
      </w:r>
      <w:r>
        <w:t>oběhu</w:t>
      </w:r>
      <w:r w:rsidR="00FF2303">
        <w:t xml:space="preserve"> (expanz. mon. pol.)</w:t>
      </w:r>
    </w:p>
    <w:p w:rsidR="007B31F8" w:rsidRPr="002D6AD4" w:rsidRDefault="007B31F8" w:rsidP="007B31F8">
      <w:pPr>
        <w:pStyle w:val="Odstavecseseznamem"/>
        <w:numPr>
          <w:ilvl w:val="0"/>
          <w:numId w:val="2"/>
        </w:numPr>
      </w:pPr>
      <w:r w:rsidRPr="00C779C6">
        <w:rPr>
          <w:b/>
        </w:rPr>
        <w:t>Povinné min. rezervy</w:t>
      </w:r>
      <w:r>
        <w:t xml:space="preserve"> </w:t>
      </w:r>
      <w:r w:rsidR="00FF2303">
        <w:t xml:space="preserve">– každá banka musí uložit u CB </w:t>
      </w:r>
      <w:r w:rsidR="00AD69A0">
        <w:t xml:space="preserve">část svých likvidních prostředků - </w:t>
      </w:r>
      <w:r w:rsidR="00FF2303">
        <w:t>určité% (nyní 2 %) ze všech vkladů od nebankovních subjektů</w:t>
      </w:r>
    </w:p>
    <w:p w:rsidR="004E3760" w:rsidRDefault="00AD69A0">
      <w:r>
        <w:t xml:space="preserve">a) zvýšení % rezerv -&gt; snížení částky, kterou mohou obch. banky půjčit podnikům -&gt; sníž. množství peněz v oběhu, tlumení ek. růstu </w:t>
      </w:r>
    </w:p>
    <w:p w:rsidR="00AD69A0" w:rsidRDefault="00AD69A0">
      <w:r>
        <w:t>b)</w:t>
      </w:r>
      <w:r w:rsidRPr="00AD69A0">
        <w:t xml:space="preserve"> </w:t>
      </w:r>
      <w:r>
        <w:t>snížení % rezerv -&gt; zvýšení částky, kterou mohou obch. banky půjčit podnikům -&gt; zvýš. množství peněz v oběhu, tlumení ek. poklesu (v obd. krize, deprese)</w:t>
      </w:r>
    </w:p>
    <w:p w:rsidR="00AD69A0" w:rsidRDefault="00AD69A0" w:rsidP="00AD69A0">
      <w:pPr>
        <w:pStyle w:val="Odstavecseseznamem"/>
        <w:numPr>
          <w:ilvl w:val="0"/>
          <w:numId w:val="2"/>
        </w:numPr>
      </w:pPr>
      <w:r w:rsidRPr="00C779C6">
        <w:rPr>
          <w:b/>
        </w:rPr>
        <w:t>Automatické facility</w:t>
      </w:r>
      <w:r>
        <w:t xml:space="preserve"> - </w:t>
      </w:r>
      <w:r w:rsidRPr="00AD69A0">
        <w:t>slouží k poskytování nebo ukládání likvidity přes noc (overnight</w:t>
      </w:r>
      <w:r>
        <w:t>)</w:t>
      </w:r>
      <w:r w:rsidR="00C779C6">
        <w:t xml:space="preserve">. </w:t>
      </w:r>
      <w:r w:rsidR="00C779C6" w:rsidRPr="00C779C6">
        <w:t>Minimální objem je 10 mil. Kč</w:t>
      </w:r>
    </w:p>
    <w:p w:rsidR="00C779C6" w:rsidRDefault="00C779C6" w:rsidP="00C779C6">
      <w:pPr>
        <w:pStyle w:val="Odstavecseseznamem"/>
      </w:pPr>
    </w:p>
    <w:p w:rsidR="00C779C6" w:rsidRDefault="00C779C6" w:rsidP="00C779C6">
      <w:pPr>
        <w:pStyle w:val="Odstavecseseznamem"/>
        <w:numPr>
          <w:ilvl w:val="0"/>
          <w:numId w:val="2"/>
        </w:numPr>
        <w:spacing w:before="240"/>
      </w:pPr>
      <w:r w:rsidRPr="00C779C6">
        <w:rPr>
          <w:b/>
        </w:rPr>
        <w:t>Konverze a swapy</w:t>
      </w:r>
      <w:r>
        <w:t xml:space="preserve"> – používá CB při nákupu a prodeji cizí měny za Kč jednotlivým obch. bankám</w:t>
      </w:r>
    </w:p>
    <w:p w:rsidR="00C779C6" w:rsidRDefault="00C779C6" w:rsidP="00C779C6">
      <w:pPr>
        <w:spacing w:before="240"/>
      </w:pPr>
    </w:p>
    <w:p w:rsidR="00CA22D6" w:rsidRDefault="00CA22D6" w:rsidP="00304BF0">
      <w:pPr>
        <w:pStyle w:val="Nadpis3"/>
        <w:spacing w:after="240"/>
      </w:pPr>
      <w:r>
        <w:t>Význam měnové politiky ČNB</w:t>
      </w:r>
    </w:p>
    <w:p w:rsidR="00304BF0" w:rsidRDefault="00CA22D6">
      <w:r>
        <w:t xml:space="preserve">Cílem ČNB je dosažení cenové stability – nízké úrovně inflace. Proto </w:t>
      </w:r>
      <w:r w:rsidR="00CD71C4">
        <w:t xml:space="preserve">ČNB </w:t>
      </w:r>
      <w:r w:rsidR="00CD71C4" w:rsidRPr="00CD71C4">
        <w:rPr>
          <w:b/>
          <w:u w:val="single"/>
        </w:rPr>
        <w:t>cíluje inflaci</w:t>
      </w:r>
      <w:r w:rsidR="00CD71C4">
        <w:t xml:space="preserve"> tak, aby výhledově byla naše země schopna přijmout euro (</w:t>
      </w:r>
      <w:r w:rsidR="00024628" w:rsidRPr="00CA22D6">
        <w:t>do přistoupení ČR k</w:t>
      </w:r>
      <w:r w:rsidR="00024628">
        <w:t> </w:t>
      </w:r>
      <w:r w:rsidR="00024628" w:rsidRPr="00CA22D6">
        <w:t>eurozóně</w:t>
      </w:r>
      <w:r w:rsidR="00024628">
        <w:t xml:space="preserve"> by </w:t>
      </w:r>
      <w:r w:rsidR="00CD71C4">
        <w:t>inflace měla být</w:t>
      </w:r>
      <w:r w:rsidRPr="00CA22D6">
        <w:t xml:space="preserve"> </w:t>
      </w:r>
      <w:r w:rsidR="00024628">
        <w:t xml:space="preserve">udržována </w:t>
      </w:r>
      <w:r w:rsidRPr="00CA22D6">
        <w:t xml:space="preserve">ve výši 2 % </w:t>
      </w:r>
      <w:r w:rsidR="00CD71C4">
        <w:t xml:space="preserve">s tolerancí </w:t>
      </w:r>
      <w:r w:rsidR="00CD71C4" w:rsidRPr="00CA22D6">
        <w:t>jeden procentní bod na obě strany</w:t>
      </w:r>
      <w:r w:rsidR="00CD71C4">
        <w:t>)</w:t>
      </w:r>
      <w:r w:rsidRPr="00CA22D6">
        <w:t xml:space="preserve">. </w:t>
      </w:r>
    </w:p>
    <w:p w:rsidR="00304BF0" w:rsidRPr="00304BF0" w:rsidRDefault="00304BF0" w:rsidP="00304BF0"/>
    <w:p w:rsidR="00304BF0" w:rsidRPr="00304BF0" w:rsidRDefault="00304BF0" w:rsidP="00304BF0"/>
    <w:p w:rsidR="00304BF0" w:rsidRPr="00304BF0" w:rsidRDefault="00304BF0" w:rsidP="00304BF0"/>
    <w:p w:rsidR="00304BF0" w:rsidRPr="00304BF0" w:rsidRDefault="00304BF0" w:rsidP="00304BF0"/>
    <w:p w:rsidR="00304BF0" w:rsidRDefault="00304BF0" w:rsidP="00304BF0"/>
    <w:p w:rsidR="00304BF0" w:rsidRDefault="00304BF0" w:rsidP="00304BF0">
      <w:pPr>
        <w:rPr>
          <w:rFonts w:ascii="Calibri" w:hAnsi="Calibri"/>
          <w:i/>
        </w:rPr>
      </w:pPr>
      <w:r>
        <w:rPr>
          <w:rFonts w:ascii="Calibri" w:hAnsi="Calibri"/>
          <w:i/>
        </w:rPr>
        <w:t>Použité zdroje:</w:t>
      </w:r>
    </w:p>
    <w:p w:rsidR="00304BF0" w:rsidRDefault="00304BF0" w:rsidP="00304BF0">
      <w:pPr>
        <w:rPr>
          <w:rFonts w:ascii="Times New Roman" w:hAnsi="Times New Roman"/>
          <w:i/>
        </w:rPr>
      </w:pPr>
      <w:r>
        <w:rPr>
          <w:i/>
        </w:rPr>
        <w:t xml:space="preserve">KRÁLOVÁ, Irena. </w:t>
      </w:r>
      <w:r>
        <w:rPr>
          <w:i/>
          <w:iCs/>
        </w:rPr>
        <w:t>Makroekonomie a hospodářská politika státu: pro střední a vyšší hotelové školy</w:t>
      </w:r>
      <w:r>
        <w:rPr>
          <w:i/>
        </w:rPr>
        <w:t>. 1. vyd. Praha: Fortuna, 2010, 175 s. ISBN 978-80-7373-062-8.</w:t>
      </w:r>
    </w:p>
    <w:p w:rsidR="00D66708" w:rsidRPr="00304BF0" w:rsidRDefault="00D66708" w:rsidP="00304BF0"/>
    <w:sectPr w:rsidR="00D66708" w:rsidRPr="00304BF0" w:rsidSect="002D6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7E4" w:rsidRDefault="007837E4" w:rsidP="007837E4">
      <w:pPr>
        <w:spacing w:after="0" w:line="240" w:lineRule="auto"/>
      </w:pPr>
      <w:r>
        <w:separator/>
      </w:r>
    </w:p>
  </w:endnote>
  <w:endnote w:type="continuationSeparator" w:id="0">
    <w:p w:rsidR="007837E4" w:rsidRDefault="007837E4" w:rsidP="00783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7E4" w:rsidRDefault="007837E4" w:rsidP="007837E4">
      <w:pPr>
        <w:spacing w:after="0" w:line="240" w:lineRule="auto"/>
      </w:pPr>
      <w:r>
        <w:separator/>
      </w:r>
    </w:p>
  </w:footnote>
  <w:footnote w:type="continuationSeparator" w:id="0">
    <w:p w:rsidR="007837E4" w:rsidRDefault="007837E4" w:rsidP="007837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9B5E31"/>
    <w:multiLevelType w:val="hybridMultilevel"/>
    <w:tmpl w:val="8DE2BD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3326F7"/>
    <w:multiLevelType w:val="hybridMultilevel"/>
    <w:tmpl w:val="5FFE00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708"/>
    <w:rsid w:val="00024628"/>
    <w:rsid w:val="000B4812"/>
    <w:rsid w:val="00207ED6"/>
    <w:rsid w:val="002108DE"/>
    <w:rsid w:val="00276269"/>
    <w:rsid w:val="002D64EA"/>
    <w:rsid w:val="002D6AD4"/>
    <w:rsid w:val="002D7E7C"/>
    <w:rsid w:val="00304BF0"/>
    <w:rsid w:val="00341597"/>
    <w:rsid w:val="004A630F"/>
    <w:rsid w:val="004E3760"/>
    <w:rsid w:val="007837E4"/>
    <w:rsid w:val="007A238A"/>
    <w:rsid w:val="007B31F8"/>
    <w:rsid w:val="00972FA2"/>
    <w:rsid w:val="00AD69A0"/>
    <w:rsid w:val="00C779C6"/>
    <w:rsid w:val="00CA22D6"/>
    <w:rsid w:val="00CD71C4"/>
    <w:rsid w:val="00D66708"/>
    <w:rsid w:val="00DE6328"/>
    <w:rsid w:val="00ED76CE"/>
    <w:rsid w:val="00F90D38"/>
    <w:rsid w:val="00F94807"/>
    <w:rsid w:val="00F95A04"/>
    <w:rsid w:val="00FF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2C99C4-F6E3-43C4-9742-457E960E7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E37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D6A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E63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37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2D6A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D6A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D6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6AD4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rsid w:val="00DE632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837E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837E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837E4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837E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7837E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7837E4"/>
    <w:rPr>
      <w:vertAlign w:val="superscript"/>
    </w:rPr>
  </w:style>
  <w:style w:type="table" w:styleId="Mkatabulky">
    <w:name w:val="Table Grid"/>
    <w:basedOn w:val="Normlntabulka"/>
    <w:uiPriority w:val="59"/>
    <w:rsid w:val="007A238A"/>
    <w:pPr>
      <w:spacing w:after="0" w:line="240" w:lineRule="auto"/>
    </w:pPr>
    <w:rPr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83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D1425D1-879B-4646-9578-5952CF5EF852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3765CDC9-1D0A-4FC5-8967-9ACA83645005}">
      <dgm:prSet phldrT="[Text]"/>
      <dgm:spPr/>
      <dgm:t>
        <a:bodyPr/>
        <a:lstStyle/>
        <a:p>
          <a:r>
            <a:rPr lang="cs-CZ"/>
            <a:t>stanovení povinného vedení běžných účtů státních institucí u CB, např. celní správy, účet SR či FÚ</a:t>
          </a:r>
        </a:p>
      </dgm:t>
    </dgm:pt>
    <dgm:pt modelId="{E983A41B-11F4-4943-A1DC-481C0669E8E6}">
      <dgm:prSet phldrT="[Text]" custT="1"/>
      <dgm:spPr/>
      <dgm:t>
        <a:bodyPr/>
        <a:lstStyle/>
        <a:p>
          <a:r>
            <a:rPr lang="cs-CZ" sz="1200"/>
            <a:t>povinné vklady</a:t>
          </a:r>
        </a:p>
      </dgm:t>
    </dgm:pt>
    <dgm:pt modelId="{424250F9-19BC-4255-AFCD-B3723C99D860}" type="sibTrans" cxnId="{4E870261-B7C5-4161-B526-45FBCB56C04F}">
      <dgm:prSet/>
      <dgm:spPr/>
      <dgm:t>
        <a:bodyPr/>
        <a:lstStyle/>
        <a:p>
          <a:endParaRPr lang="cs-CZ"/>
        </a:p>
      </dgm:t>
    </dgm:pt>
    <dgm:pt modelId="{24329E84-15E2-4DFE-9A23-DC6D83F0C97B}" type="parTrans" cxnId="{4E870261-B7C5-4161-B526-45FBCB56C04F}">
      <dgm:prSet/>
      <dgm:spPr/>
      <dgm:t>
        <a:bodyPr/>
        <a:lstStyle/>
        <a:p>
          <a:endParaRPr lang="cs-CZ"/>
        </a:p>
      </dgm:t>
    </dgm:pt>
    <dgm:pt modelId="{241DDDBD-F85C-43FC-B227-702E4521A69C}" type="sibTrans" cxnId="{BE829582-2FFD-44D6-84BD-62AE59505D53}">
      <dgm:prSet/>
      <dgm:spPr/>
      <dgm:t>
        <a:bodyPr/>
        <a:lstStyle/>
        <a:p>
          <a:endParaRPr lang="cs-CZ"/>
        </a:p>
      </dgm:t>
    </dgm:pt>
    <dgm:pt modelId="{0409E7A6-59F0-4E73-86D6-F96219474B39}" type="parTrans" cxnId="{BE829582-2FFD-44D6-84BD-62AE59505D53}">
      <dgm:prSet/>
      <dgm:spPr/>
      <dgm:t>
        <a:bodyPr/>
        <a:lstStyle/>
        <a:p>
          <a:endParaRPr lang="cs-CZ"/>
        </a:p>
      </dgm:t>
    </dgm:pt>
    <dgm:pt modelId="{2FCC6306-8A78-4EAA-8DBD-90D76CA57E50}">
      <dgm:prSet phldrT="[Text]"/>
      <dgm:spPr/>
      <dgm:t>
        <a:bodyPr/>
        <a:lstStyle/>
        <a:p>
          <a:r>
            <a:rPr lang="cs-CZ"/>
            <a:t>určení limitů a podmínek úvěrů, které banky poskytují svým klientům</a:t>
          </a:r>
        </a:p>
      </dgm:t>
    </dgm:pt>
    <dgm:pt modelId="{A2D9323A-C553-4F4D-9916-8E800A6ECD7F}">
      <dgm:prSet phldrT="[Text]" custT="1"/>
      <dgm:spPr/>
      <dgm:t>
        <a:bodyPr/>
        <a:lstStyle/>
        <a:p>
          <a:r>
            <a:rPr lang="cs-CZ" sz="1200"/>
            <a:t>úvěrové limity (kontingenty)</a:t>
          </a:r>
        </a:p>
      </dgm:t>
    </dgm:pt>
    <dgm:pt modelId="{C696A6C6-92D9-455E-9EB6-26416B11E1E2}" type="sibTrans" cxnId="{96987931-47DC-46A0-8EB8-415C59A1F46E}">
      <dgm:prSet/>
      <dgm:spPr/>
      <dgm:t>
        <a:bodyPr/>
        <a:lstStyle/>
        <a:p>
          <a:endParaRPr lang="cs-CZ"/>
        </a:p>
      </dgm:t>
    </dgm:pt>
    <dgm:pt modelId="{916E6926-5920-451D-A030-33396F2B023A}" type="parTrans" cxnId="{96987931-47DC-46A0-8EB8-415C59A1F46E}">
      <dgm:prSet/>
      <dgm:spPr/>
      <dgm:t>
        <a:bodyPr/>
        <a:lstStyle/>
        <a:p>
          <a:endParaRPr lang="cs-CZ"/>
        </a:p>
      </dgm:t>
    </dgm:pt>
    <dgm:pt modelId="{FC5014D3-B677-41E3-8AC6-3E68829AB7DD}" type="sibTrans" cxnId="{F213F108-E8EB-40F1-9907-C8B73C62B30C}">
      <dgm:prSet/>
      <dgm:spPr/>
      <dgm:t>
        <a:bodyPr/>
        <a:lstStyle/>
        <a:p>
          <a:endParaRPr lang="cs-CZ"/>
        </a:p>
      </dgm:t>
    </dgm:pt>
    <dgm:pt modelId="{1CFF42C5-1B3B-4F21-A5B4-6EB340F59DDD}" type="parTrans" cxnId="{F213F108-E8EB-40F1-9907-C8B73C62B30C}">
      <dgm:prSet/>
      <dgm:spPr/>
      <dgm:t>
        <a:bodyPr/>
        <a:lstStyle/>
        <a:p>
          <a:endParaRPr lang="cs-CZ"/>
        </a:p>
      </dgm:t>
    </dgm:pt>
    <dgm:pt modelId="{903B107B-8D1E-4F37-AFA6-C9E88262DBD0}">
      <dgm:prSet phldrT="[Text]"/>
      <dgm:spPr/>
      <dgm:t>
        <a:bodyPr/>
        <a:lstStyle/>
        <a:p>
          <a:r>
            <a:rPr lang="cs-CZ"/>
            <a:t>určení závaznéstruktury aktiv a pasiv obchodních bank (poměr mezi vklady a úvěry)</a:t>
          </a:r>
        </a:p>
      </dgm:t>
    </dgm:pt>
    <dgm:pt modelId="{D52C2617-19B4-4D3E-AEA5-E31CB95D761D}">
      <dgm:prSet phldrT="[Text]" custT="1"/>
      <dgm:spPr/>
      <dgm:t>
        <a:bodyPr/>
        <a:lstStyle/>
        <a:p>
          <a:r>
            <a:rPr lang="cs-CZ" sz="1200"/>
            <a:t>pravidla likvidity</a:t>
          </a:r>
        </a:p>
      </dgm:t>
    </dgm:pt>
    <dgm:pt modelId="{81CCB918-46E0-48FA-99C4-79322AB5D2E9}" type="sibTrans" cxnId="{6D2F00D6-3CE6-4EA5-BF1E-2930D91078D1}">
      <dgm:prSet/>
      <dgm:spPr/>
      <dgm:t>
        <a:bodyPr/>
        <a:lstStyle/>
        <a:p>
          <a:endParaRPr lang="cs-CZ"/>
        </a:p>
      </dgm:t>
    </dgm:pt>
    <dgm:pt modelId="{61D66567-58F7-42EC-87A6-299230CA63A8}" type="parTrans" cxnId="{6D2F00D6-3CE6-4EA5-BF1E-2930D91078D1}">
      <dgm:prSet/>
      <dgm:spPr/>
      <dgm:t>
        <a:bodyPr/>
        <a:lstStyle/>
        <a:p>
          <a:endParaRPr lang="cs-CZ"/>
        </a:p>
      </dgm:t>
    </dgm:pt>
    <dgm:pt modelId="{82FF9821-1AA3-4130-976A-E3DAAA552661}" type="sibTrans" cxnId="{BDF40E52-5A19-4F3B-8061-BDD090FB1737}">
      <dgm:prSet/>
      <dgm:spPr/>
      <dgm:t>
        <a:bodyPr/>
        <a:lstStyle/>
        <a:p>
          <a:endParaRPr lang="cs-CZ"/>
        </a:p>
      </dgm:t>
    </dgm:pt>
    <dgm:pt modelId="{D8EF8A1E-EC39-4494-9CB1-B9E99EC2E8E3}" type="parTrans" cxnId="{BDF40E52-5A19-4F3B-8061-BDD090FB1737}">
      <dgm:prSet/>
      <dgm:spPr/>
      <dgm:t>
        <a:bodyPr/>
        <a:lstStyle/>
        <a:p>
          <a:endParaRPr lang="cs-CZ"/>
        </a:p>
      </dgm:t>
    </dgm:pt>
    <dgm:pt modelId="{B575B2EA-B7FC-43BF-8265-7456DC768EE6}">
      <dgm:prSet phldrT="[Text]" custT="1"/>
      <dgm:spPr/>
      <dgm:t>
        <a:bodyPr/>
        <a:lstStyle/>
        <a:p>
          <a:r>
            <a:rPr lang="cs-CZ" sz="1200"/>
            <a:t>doporučení, výzvy, dohody</a:t>
          </a:r>
        </a:p>
      </dgm:t>
    </dgm:pt>
    <dgm:pt modelId="{D66BA214-FFCB-42CC-ADBA-A762920AE4A4}" type="parTrans" cxnId="{7A368A40-382F-45C1-B516-E13ABF449E7A}">
      <dgm:prSet/>
      <dgm:spPr/>
      <dgm:t>
        <a:bodyPr/>
        <a:lstStyle/>
        <a:p>
          <a:endParaRPr lang="cs-CZ"/>
        </a:p>
      </dgm:t>
    </dgm:pt>
    <dgm:pt modelId="{CFCECDE2-82C0-4C02-81C6-53F956C399F5}" type="sibTrans" cxnId="{7A368A40-382F-45C1-B516-E13ABF449E7A}">
      <dgm:prSet/>
      <dgm:spPr/>
      <dgm:t>
        <a:bodyPr/>
        <a:lstStyle/>
        <a:p>
          <a:endParaRPr lang="cs-CZ"/>
        </a:p>
      </dgm:t>
    </dgm:pt>
    <dgm:pt modelId="{FDB81EEC-DC34-4029-9AD2-A15E2D8CA751}">
      <dgm:prSet phldrT="[Text]"/>
      <dgm:spPr/>
      <dgm:t>
        <a:bodyPr/>
        <a:lstStyle/>
        <a:p>
          <a:r>
            <a:rPr lang="cs-CZ"/>
            <a:t>nepsaná pravidla mezi CB a obch. bankami (džentlmenské dohody)</a:t>
          </a:r>
        </a:p>
      </dgm:t>
    </dgm:pt>
    <dgm:pt modelId="{0B8F2047-B504-4AB5-A9A2-53C03CBFF59B}" type="parTrans" cxnId="{B95C98E7-72D9-43E4-9328-F399E96418B0}">
      <dgm:prSet/>
      <dgm:spPr/>
      <dgm:t>
        <a:bodyPr/>
        <a:lstStyle/>
        <a:p>
          <a:endParaRPr lang="cs-CZ"/>
        </a:p>
      </dgm:t>
    </dgm:pt>
    <dgm:pt modelId="{C3F73CC4-D391-4103-A9E9-980E3B1EEC86}" type="sibTrans" cxnId="{B95C98E7-72D9-43E4-9328-F399E96418B0}">
      <dgm:prSet/>
      <dgm:spPr/>
      <dgm:t>
        <a:bodyPr/>
        <a:lstStyle/>
        <a:p>
          <a:endParaRPr lang="cs-CZ"/>
        </a:p>
      </dgm:t>
    </dgm:pt>
    <dgm:pt modelId="{4529A790-BBE6-4064-B9C4-1E2D10C4F4D4}" type="pres">
      <dgm:prSet presAssocID="{4D1425D1-879B-4646-9578-5952CF5EF852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63BD23D8-0F2A-41B9-89EB-D499E6AA3175}" type="pres">
      <dgm:prSet presAssocID="{D52C2617-19B4-4D3E-AEA5-E31CB95D761D}" presName="composite" presStyleCnt="0"/>
      <dgm:spPr/>
    </dgm:pt>
    <dgm:pt modelId="{49E97216-3D9F-4E26-A563-E05F10B56E13}" type="pres">
      <dgm:prSet presAssocID="{D52C2617-19B4-4D3E-AEA5-E31CB95D761D}" presName="parTx" presStyleLbl="align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177BADC-3AE3-4CEE-8E65-7C1D7A716F1C}" type="pres">
      <dgm:prSet presAssocID="{D52C2617-19B4-4D3E-AEA5-E31CB95D761D}" presName="desTx" presStyleLbl="align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C3308B2-E3BD-4B75-B675-3554BD9C30CF}" type="pres">
      <dgm:prSet presAssocID="{81CCB918-46E0-48FA-99C4-79322AB5D2E9}" presName="space" presStyleCnt="0"/>
      <dgm:spPr/>
    </dgm:pt>
    <dgm:pt modelId="{48392D2E-43E7-44C9-95D1-F3D668C682E3}" type="pres">
      <dgm:prSet presAssocID="{A2D9323A-C553-4F4D-9916-8E800A6ECD7F}" presName="composite" presStyleCnt="0"/>
      <dgm:spPr/>
    </dgm:pt>
    <dgm:pt modelId="{66657E46-00AA-4227-B709-6D750E9C6DDB}" type="pres">
      <dgm:prSet presAssocID="{A2D9323A-C553-4F4D-9916-8E800A6ECD7F}" presName="parTx" presStyleLbl="align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D19E156-4C20-427C-B0EA-1B23BB0C629A}" type="pres">
      <dgm:prSet presAssocID="{A2D9323A-C553-4F4D-9916-8E800A6ECD7F}" presName="desTx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16A434F-0A51-443F-87B1-CB699BE347B2}" type="pres">
      <dgm:prSet presAssocID="{C696A6C6-92D9-455E-9EB6-26416B11E1E2}" presName="space" presStyleCnt="0"/>
      <dgm:spPr/>
    </dgm:pt>
    <dgm:pt modelId="{CE629A00-A395-45E9-A926-6E7F752D7314}" type="pres">
      <dgm:prSet presAssocID="{E983A41B-11F4-4943-A1DC-481C0669E8E6}" presName="composite" presStyleCnt="0"/>
      <dgm:spPr/>
    </dgm:pt>
    <dgm:pt modelId="{FFBE3D05-CA52-49FA-8280-D76286923328}" type="pres">
      <dgm:prSet presAssocID="{E983A41B-11F4-4943-A1DC-481C0669E8E6}" presName="parTx" presStyleLbl="align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EC6F02-85EA-45C8-9575-7E1695338711}" type="pres">
      <dgm:prSet presAssocID="{E983A41B-11F4-4943-A1DC-481C0669E8E6}" presName="desTx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4E9B168-0F8A-4892-BF6E-F61A4AC886B2}" type="pres">
      <dgm:prSet presAssocID="{424250F9-19BC-4255-AFCD-B3723C99D860}" presName="space" presStyleCnt="0"/>
      <dgm:spPr/>
    </dgm:pt>
    <dgm:pt modelId="{2B6FB8A5-5084-41F2-8516-A7D69A2E9283}" type="pres">
      <dgm:prSet presAssocID="{B575B2EA-B7FC-43BF-8265-7456DC768EE6}" presName="composite" presStyleCnt="0"/>
      <dgm:spPr/>
    </dgm:pt>
    <dgm:pt modelId="{6869EDE0-7F1E-4B4A-B3F9-7B73F5B4DEC9}" type="pres">
      <dgm:prSet presAssocID="{B575B2EA-B7FC-43BF-8265-7456DC768EE6}" presName="parTx" presStyleLbl="align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994CE5A-629C-44B6-97FD-A18CAA60474A}" type="pres">
      <dgm:prSet presAssocID="{B575B2EA-B7FC-43BF-8265-7456DC768EE6}" presName="desTx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213F108-E8EB-40F1-9907-C8B73C62B30C}" srcId="{A2D9323A-C553-4F4D-9916-8E800A6ECD7F}" destId="{2FCC6306-8A78-4EAA-8DBD-90D76CA57E50}" srcOrd="0" destOrd="0" parTransId="{1CFF42C5-1B3B-4F21-A5B4-6EB340F59DDD}" sibTransId="{FC5014D3-B677-41E3-8AC6-3E68829AB7DD}"/>
    <dgm:cxn modelId="{F3A785E9-78F6-4BF1-A7E7-5226E61EBF12}" type="presOf" srcId="{4D1425D1-879B-4646-9578-5952CF5EF852}" destId="{4529A790-BBE6-4064-B9C4-1E2D10C4F4D4}" srcOrd="0" destOrd="0" presId="urn:microsoft.com/office/officeart/2005/8/layout/hList1"/>
    <dgm:cxn modelId="{2E4F3FA0-C26E-48FD-AE0F-F88BD5899904}" type="presOf" srcId="{D52C2617-19B4-4D3E-AEA5-E31CB95D761D}" destId="{49E97216-3D9F-4E26-A563-E05F10B56E13}" srcOrd="0" destOrd="0" presId="urn:microsoft.com/office/officeart/2005/8/layout/hList1"/>
    <dgm:cxn modelId="{E072DB5A-7D2A-4449-80A2-CAED6DE6E8F4}" type="presOf" srcId="{3765CDC9-1D0A-4FC5-8967-9ACA83645005}" destId="{A0EC6F02-85EA-45C8-9575-7E1695338711}" srcOrd="0" destOrd="0" presId="urn:microsoft.com/office/officeart/2005/8/layout/hList1"/>
    <dgm:cxn modelId="{B95C98E7-72D9-43E4-9328-F399E96418B0}" srcId="{B575B2EA-B7FC-43BF-8265-7456DC768EE6}" destId="{FDB81EEC-DC34-4029-9AD2-A15E2D8CA751}" srcOrd="0" destOrd="0" parTransId="{0B8F2047-B504-4AB5-A9A2-53C03CBFF59B}" sibTransId="{C3F73CC4-D391-4103-A9E9-980E3B1EEC86}"/>
    <dgm:cxn modelId="{7A368A40-382F-45C1-B516-E13ABF449E7A}" srcId="{4D1425D1-879B-4646-9578-5952CF5EF852}" destId="{B575B2EA-B7FC-43BF-8265-7456DC768EE6}" srcOrd="3" destOrd="0" parTransId="{D66BA214-FFCB-42CC-ADBA-A762920AE4A4}" sibTransId="{CFCECDE2-82C0-4C02-81C6-53F956C399F5}"/>
    <dgm:cxn modelId="{6D2F00D6-3CE6-4EA5-BF1E-2930D91078D1}" srcId="{4D1425D1-879B-4646-9578-5952CF5EF852}" destId="{D52C2617-19B4-4D3E-AEA5-E31CB95D761D}" srcOrd="0" destOrd="0" parTransId="{61D66567-58F7-42EC-87A6-299230CA63A8}" sibTransId="{81CCB918-46E0-48FA-99C4-79322AB5D2E9}"/>
    <dgm:cxn modelId="{A1FFC90A-B214-43AA-8135-2854F07DA739}" type="presOf" srcId="{2FCC6306-8A78-4EAA-8DBD-90D76CA57E50}" destId="{3D19E156-4C20-427C-B0EA-1B23BB0C629A}" srcOrd="0" destOrd="0" presId="urn:microsoft.com/office/officeart/2005/8/layout/hList1"/>
    <dgm:cxn modelId="{ABA48438-63DC-4314-98B8-D730D725F2C8}" type="presOf" srcId="{903B107B-8D1E-4F37-AFA6-C9E88262DBD0}" destId="{B177BADC-3AE3-4CEE-8E65-7C1D7A716F1C}" srcOrd="0" destOrd="0" presId="urn:microsoft.com/office/officeart/2005/8/layout/hList1"/>
    <dgm:cxn modelId="{73A6E6A4-2EF7-446B-B72E-C86A506272DA}" type="presOf" srcId="{A2D9323A-C553-4F4D-9916-8E800A6ECD7F}" destId="{66657E46-00AA-4227-B709-6D750E9C6DDB}" srcOrd="0" destOrd="0" presId="urn:microsoft.com/office/officeart/2005/8/layout/hList1"/>
    <dgm:cxn modelId="{68C47475-8A1F-4B03-8334-1CC0071D08D6}" type="presOf" srcId="{E983A41B-11F4-4943-A1DC-481C0669E8E6}" destId="{FFBE3D05-CA52-49FA-8280-D76286923328}" srcOrd="0" destOrd="0" presId="urn:microsoft.com/office/officeart/2005/8/layout/hList1"/>
    <dgm:cxn modelId="{96987931-47DC-46A0-8EB8-415C59A1F46E}" srcId="{4D1425D1-879B-4646-9578-5952CF5EF852}" destId="{A2D9323A-C553-4F4D-9916-8E800A6ECD7F}" srcOrd="1" destOrd="0" parTransId="{916E6926-5920-451D-A030-33396F2B023A}" sibTransId="{C696A6C6-92D9-455E-9EB6-26416B11E1E2}"/>
    <dgm:cxn modelId="{4E870261-B7C5-4161-B526-45FBCB56C04F}" srcId="{4D1425D1-879B-4646-9578-5952CF5EF852}" destId="{E983A41B-11F4-4943-A1DC-481C0669E8E6}" srcOrd="2" destOrd="0" parTransId="{24329E84-15E2-4DFE-9A23-DC6D83F0C97B}" sibTransId="{424250F9-19BC-4255-AFCD-B3723C99D860}"/>
    <dgm:cxn modelId="{61F726F9-664A-4E96-BD1B-47CA0B4185D1}" type="presOf" srcId="{FDB81EEC-DC34-4029-9AD2-A15E2D8CA751}" destId="{9994CE5A-629C-44B6-97FD-A18CAA60474A}" srcOrd="0" destOrd="0" presId="urn:microsoft.com/office/officeart/2005/8/layout/hList1"/>
    <dgm:cxn modelId="{BE829582-2FFD-44D6-84BD-62AE59505D53}" srcId="{E983A41B-11F4-4943-A1DC-481C0669E8E6}" destId="{3765CDC9-1D0A-4FC5-8967-9ACA83645005}" srcOrd="0" destOrd="0" parTransId="{0409E7A6-59F0-4E73-86D6-F96219474B39}" sibTransId="{241DDDBD-F85C-43FC-B227-702E4521A69C}"/>
    <dgm:cxn modelId="{BDF40E52-5A19-4F3B-8061-BDD090FB1737}" srcId="{D52C2617-19B4-4D3E-AEA5-E31CB95D761D}" destId="{903B107B-8D1E-4F37-AFA6-C9E88262DBD0}" srcOrd="0" destOrd="0" parTransId="{D8EF8A1E-EC39-4494-9CB1-B9E99EC2E8E3}" sibTransId="{82FF9821-1AA3-4130-976A-E3DAAA552661}"/>
    <dgm:cxn modelId="{8B611476-7FFA-4C6B-A7A5-F13B40AAD446}" type="presOf" srcId="{B575B2EA-B7FC-43BF-8265-7456DC768EE6}" destId="{6869EDE0-7F1E-4B4A-B3F9-7B73F5B4DEC9}" srcOrd="0" destOrd="0" presId="urn:microsoft.com/office/officeart/2005/8/layout/hList1"/>
    <dgm:cxn modelId="{1CFBD0A2-74C7-482C-851E-EA0BD7E81EB7}" type="presParOf" srcId="{4529A790-BBE6-4064-B9C4-1E2D10C4F4D4}" destId="{63BD23D8-0F2A-41B9-89EB-D499E6AA3175}" srcOrd="0" destOrd="0" presId="urn:microsoft.com/office/officeart/2005/8/layout/hList1"/>
    <dgm:cxn modelId="{79B9A956-04C2-4117-8C5B-A928A751B6F2}" type="presParOf" srcId="{63BD23D8-0F2A-41B9-89EB-D499E6AA3175}" destId="{49E97216-3D9F-4E26-A563-E05F10B56E13}" srcOrd="0" destOrd="0" presId="urn:microsoft.com/office/officeart/2005/8/layout/hList1"/>
    <dgm:cxn modelId="{70613A5C-9C89-40A3-8084-78A812CB2468}" type="presParOf" srcId="{63BD23D8-0F2A-41B9-89EB-D499E6AA3175}" destId="{B177BADC-3AE3-4CEE-8E65-7C1D7A716F1C}" srcOrd="1" destOrd="0" presId="urn:microsoft.com/office/officeart/2005/8/layout/hList1"/>
    <dgm:cxn modelId="{E2F53419-B002-43D8-8B02-763DA40449EA}" type="presParOf" srcId="{4529A790-BBE6-4064-B9C4-1E2D10C4F4D4}" destId="{8C3308B2-E3BD-4B75-B675-3554BD9C30CF}" srcOrd="1" destOrd="0" presId="urn:microsoft.com/office/officeart/2005/8/layout/hList1"/>
    <dgm:cxn modelId="{11A0A7D9-17D2-4207-9D61-05E4D1184616}" type="presParOf" srcId="{4529A790-BBE6-4064-B9C4-1E2D10C4F4D4}" destId="{48392D2E-43E7-44C9-95D1-F3D668C682E3}" srcOrd="2" destOrd="0" presId="urn:microsoft.com/office/officeart/2005/8/layout/hList1"/>
    <dgm:cxn modelId="{DDDF77B0-130A-48FA-A5B4-340CDAAA90D6}" type="presParOf" srcId="{48392D2E-43E7-44C9-95D1-F3D668C682E3}" destId="{66657E46-00AA-4227-B709-6D750E9C6DDB}" srcOrd="0" destOrd="0" presId="urn:microsoft.com/office/officeart/2005/8/layout/hList1"/>
    <dgm:cxn modelId="{F6874145-9C1A-45ED-88F5-7056D75BB9EC}" type="presParOf" srcId="{48392D2E-43E7-44C9-95D1-F3D668C682E3}" destId="{3D19E156-4C20-427C-B0EA-1B23BB0C629A}" srcOrd="1" destOrd="0" presId="urn:microsoft.com/office/officeart/2005/8/layout/hList1"/>
    <dgm:cxn modelId="{C1EBDEFF-549E-4B9F-B0A5-4C690FFB4AF8}" type="presParOf" srcId="{4529A790-BBE6-4064-B9C4-1E2D10C4F4D4}" destId="{016A434F-0A51-443F-87B1-CB699BE347B2}" srcOrd="3" destOrd="0" presId="urn:microsoft.com/office/officeart/2005/8/layout/hList1"/>
    <dgm:cxn modelId="{F48926CC-2E8E-472F-A4AD-B908B63A387D}" type="presParOf" srcId="{4529A790-BBE6-4064-B9C4-1E2D10C4F4D4}" destId="{CE629A00-A395-45E9-A926-6E7F752D7314}" srcOrd="4" destOrd="0" presId="urn:microsoft.com/office/officeart/2005/8/layout/hList1"/>
    <dgm:cxn modelId="{38511509-ADD4-4EB8-9998-564F215A4108}" type="presParOf" srcId="{CE629A00-A395-45E9-A926-6E7F752D7314}" destId="{FFBE3D05-CA52-49FA-8280-D76286923328}" srcOrd="0" destOrd="0" presId="urn:microsoft.com/office/officeart/2005/8/layout/hList1"/>
    <dgm:cxn modelId="{969E163D-B2CB-4C35-8BEF-1418D7B07BD7}" type="presParOf" srcId="{CE629A00-A395-45E9-A926-6E7F752D7314}" destId="{A0EC6F02-85EA-45C8-9575-7E1695338711}" srcOrd="1" destOrd="0" presId="urn:microsoft.com/office/officeart/2005/8/layout/hList1"/>
    <dgm:cxn modelId="{3BE63CF8-5765-43D6-85EB-DF5FD2394A66}" type="presParOf" srcId="{4529A790-BBE6-4064-B9C4-1E2D10C4F4D4}" destId="{74E9B168-0F8A-4892-BF6E-F61A4AC886B2}" srcOrd="5" destOrd="0" presId="urn:microsoft.com/office/officeart/2005/8/layout/hList1"/>
    <dgm:cxn modelId="{E285A74D-FA59-470D-A4E5-A1311774FCE5}" type="presParOf" srcId="{4529A790-BBE6-4064-B9C4-1E2D10C4F4D4}" destId="{2B6FB8A5-5084-41F2-8516-A7D69A2E9283}" srcOrd="6" destOrd="0" presId="urn:microsoft.com/office/officeart/2005/8/layout/hList1"/>
    <dgm:cxn modelId="{7AEF5AC9-B8E9-4D6B-B4F8-41429713BE6A}" type="presParOf" srcId="{2B6FB8A5-5084-41F2-8516-A7D69A2E9283}" destId="{6869EDE0-7F1E-4B4A-B3F9-7B73F5B4DEC9}" srcOrd="0" destOrd="0" presId="urn:microsoft.com/office/officeart/2005/8/layout/hList1"/>
    <dgm:cxn modelId="{5B8BF54C-7BB7-4071-9F86-F68A99942A14}" type="presParOf" srcId="{2B6FB8A5-5084-41F2-8516-A7D69A2E9283}" destId="{9994CE5A-629C-44B6-97FD-A18CAA60474A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9E97216-3D9F-4E26-A563-E05F10B56E13}">
      <dsp:nvSpPr>
        <dsp:cNvPr id="0" name=""/>
        <dsp:cNvSpPr/>
      </dsp:nvSpPr>
      <dsp:spPr>
        <a:xfrm>
          <a:off x="2062" y="214294"/>
          <a:ext cx="1240333" cy="43448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pravidla likvidity</a:t>
          </a:r>
        </a:p>
      </dsp:txBody>
      <dsp:txXfrm>
        <a:off x="2062" y="214294"/>
        <a:ext cx="1240333" cy="434487"/>
      </dsp:txXfrm>
    </dsp:sp>
    <dsp:sp modelId="{B177BADC-3AE3-4CEE-8E65-7C1D7A716F1C}">
      <dsp:nvSpPr>
        <dsp:cNvPr id="0" name=""/>
        <dsp:cNvSpPr/>
      </dsp:nvSpPr>
      <dsp:spPr>
        <a:xfrm>
          <a:off x="2062" y="648782"/>
          <a:ext cx="1240333" cy="122289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určení závaznéstruktury aktiv a pasiv obchodních bank (poměr mezi vklady a úvěry)</a:t>
          </a:r>
        </a:p>
      </dsp:txBody>
      <dsp:txXfrm>
        <a:off x="2062" y="648782"/>
        <a:ext cx="1240333" cy="1222897"/>
      </dsp:txXfrm>
    </dsp:sp>
    <dsp:sp modelId="{66657E46-00AA-4227-B709-6D750E9C6DDB}">
      <dsp:nvSpPr>
        <dsp:cNvPr id="0" name=""/>
        <dsp:cNvSpPr/>
      </dsp:nvSpPr>
      <dsp:spPr>
        <a:xfrm>
          <a:off x="1416043" y="214294"/>
          <a:ext cx="1240333" cy="43448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úvěrové limity (kontingenty)</a:t>
          </a:r>
        </a:p>
      </dsp:txBody>
      <dsp:txXfrm>
        <a:off x="1416043" y="214294"/>
        <a:ext cx="1240333" cy="434487"/>
      </dsp:txXfrm>
    </dsp:sp>
    <dsp:sp modelId="{3D19E156-4C20-427C-B0EA-1B23BB0C629A}">
      <dsp:nvSpPr>
        <dsp:cNvPr id="0" name=""/>
        <dsp:cNvSpPr/>
      </dsp:nvSpPr>
      <dsp:spPr>
        <a:xfrm>
          <a:off x="1416043" y="648782"/>
          <a:ext cx="1240333" cy="122289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určení limitů a podmínek úvěrů, které banky poskytují svým klientům</a:t>
          </a:r>
        </a:p>
      </dsp:txBody>
      <dsp:txXfrm>
        <a:off x="1416043" y="648782"/>
        <a:ext cx="1240333" cy="1222897"/>
      </dsp:txXfrm>
    </dsp:sp>
    <dsp:sp modelId="{FFBE3D05-CA52-49FA-8280-D76286923328}">
      <dsp:nvSpPr>
        <dsp:cNvPr id="0" name=""/>
        <dsp:cNvSpPr/>
      </dsp:nvSpPr>
      <dsp:spPr>
        <a:xfrm>
          <a:off x="2830023" y="214294"/>
          <a:ext cx="1240333" cy="43448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povinné vklady</a:t>
          </a:r>
        </a:p>
      </dsp:txBody>
      <dsp:txXfrm>
        <a:off x="2830023" y="214294"/>
        <a:ext cx="1240333" cy="434487"/>
      </dsp:txXfrm>
    </dsp:sp>
    <dsp:sp modelId="{A0EC6F02-85EA-45C8-9575-7E1695338711}">
      <dsp:nvSpPr>
        <dsp:cNvPr id="0" name=""/>
        <dsp:cNvSpPr/>
      </dsp:nvSpPr>
      <dsp:spPr>
        <a:xfrm>
          <a:off x="2830023" y="648782"/>
          <a:ext cx="1240333" cy="122289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stanovení povinného vedení běžných účtů státních institucí u CB, např. celní správy, účet SR či FÚ</a:t>
          </a:r>
        </a:p>
      </dsp:txBody>
      <dsp:txXfrm>
        <a:off x="2830023" y="648782"/>
        <a:ext cx="1240333" cy="1222897"/>
      </dsp:txXfrm>
    </dsp:sp>
    <dsp:sp modelId="{6869EDE0-7F1E-4B4A-B3F9-7B73F5B4DEC9}">
      <dsp:nvSpPr>
        <dsp:cNvPr id="0" name=""/>
        <dsp:cNvSpPr/>
      </dsp:nvSpPr>
      <dsp:spPr>
        <a:xfrm>
          <a:off x="4244003" y="214294"/>
          <a:ext cx="1240333" cy="43448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doporučení, výzvy, dohody</a:t>
          </a:r>
        </a:p>
      </dsp:txBody>
      <dsp:txXfrm>
        <a:off x="4244003" y="214294"/>
        <a:ext cx="1240333" cy="434487"/>
      </dsp:txXfrm>
    </dsp:sp>
    <dsp:sp modelId="{9994CE5A-629C-44B6-97FD-A18CAA60474A}">
      <dsp:nvSpPr>
        <dsp:cNvPr id="0" name=""/>
        <dsp:cNvSpPr/>
      </dsp:nvSpPr>
      <dsp:spPr>
        <a:xfrm>
          <a:off x="4244003" y="648782"/>
          <a:ext cx="1240333" cy="122289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100" kern="1200"/>
            <a:t>nepsaná pravidla mezi CB a obch. bankami (džentlmenské dohody)</a:t>
          </a:r>
        </a:p>
      </dsp:txBody>
      <dsp:txXfrm>
        <a:off x="4244003" y="648782"/>
        <a:ext cx="1240333" cy="122289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DA14F-50D6-4EB5-98D6-4E3EC95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764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4</cp:revision>
  <dcterms:created xsi:type="dcterms:W3CDTF">2013-11-14T09:47:00Z</dcterms:created>
  <dcterms:modified xsi:type="dcterms:W3CDTF">2014-06-16T19:49:00Z</dcterms:modified>
</cp:coreProperties>
</file>