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B53" w:rsidRDefault="00AA1B53" w:rsidP="00AA1B53">
      <w:pPr>
        <w:spacing w:before="2400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noProof/>
        </w:rPr>
        <w:drawing>
          <wp:inline distT="0" distB="0" distL="0" distR="0">
            <wp:extent cx="5762625" cy="1257300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1B53" w:rsidRDefault="00AA1B53" w:rsidP="00AA1B53">
      <w:pPr>
        <w:jc w:val="center"/>
        <w:rPr>
          <w:rFonts w:ascii="Calibri" w:eastAsia="Calibri" w:hAnsi="Calibri"/>
          <w:lang w:eastAsia="en-US"/>
        </w:rPr>
      </w:pPr>
    </w:p>
    <w:p w:rsidR="00AA1B53" w:rsidRDefault="00AA1B53" w:rsidP="00AA1B53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AA1B53" w:rsidRDefault="00AA1B53" w:rsidP="00AA1B53">
      <w:pPr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AA1B53" w:rsidRDefault="00AA1B53" w:rsidP="00AA1B53">
      <w:pPr>
        <w:jc w:val="center"/>
        <w:rPr>
          <w:rFonts w:ascii="Calibri" w:eastAsia="Calibri" w:hAnsi="Calibri"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D</w:t>
      </w:r>
      <w:r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>
        <w:rPr>
          <w:rFonts w:ascii="Calibri" w:eastAsia="Calibri" w:hAnsi="Calibri"/>
          <w:b/>
          <w:smallCaps/>
          <w:sz w:val="52"/>
          <w:lang w:eastAsia="en-US"/>
        </w:rPr>
        <w:t>U</w:t>
      </w:r>
      <w:r>
        <w:rPr>
          <w:rFonts w:ascii="Calibri" w:eastAsia="Calibri" w:hAnsi="Calibri"/>
          <w:smallCaps/>
          <w:sz w:val="52"/>
          <w:lang w:eastAsia="en-US"/>
        </w:rPr>
        <w:t xml:space="preserve">čební </w:t>
      </w:r>
      <w:r>
        <w:rPr>
          <w:rFonts w:ascii="Calibri" w:eastAsia="Calibri" w:hAnsi="Calibri"/>
          <w:b/>
          <w:smallCaps/>
          <w:sz w:val="52"/>
          <w:lang w:eastAsia="en-US"/>
        </w:rPr>
        <w:t>M</w:t>
      </w:r>
      <w:r>
        <w:rPr>
          <w:rFonts w:ascii="Calibri" w:eastAsia="Calibri" w:hAnsi="Calibri"/>
          <w:smallCaps/>
          <w:sz w:val="52"/>
          <w:lang w:eastAsia="en-US"/>
        </w:rPr>
        <w:t>ateriál</w:t>
      </w:r>
    </w:p>
    <w:p w:rsidR="00AA1B53" w:rsidRDefault="00AA1B53" w:rsidP="00AA1B53">
      <w:pPr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>
            <w:pPr>
              <w:jc w:val="center"/>
              <w:rPr>
                <w:rFonts w:ascii="Calibri" w:eastAsia="Times New Roman" w:hAnsi="Calibri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CZ.1.07/1.5.00/34.0423</w:t>
            </w:r>
          </w:p>
        </w:tc>
      </w:tr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 w:rsidP="00AA1B53">
            <w:pPr>
              <w:jc w:val="center"/>
              <w:rPr>
                <w:rFonts w:ascii="Calibri" w:hAnsi="Calibri"/>
                <w:smallCaps/>
                <w:sz w:val="28"/>
                <w:szCs w:val="28"/>
              </w:rPr>
            </w:pPr>
            <w:r>
              <w:rPr>
                <w:rFonts w:ascii="Calibri" w:hAnsi="Calibri"/>
                <w:smallCaps/>
                <w:sz w:val="28"/>
                <w:szCs w:val="28"/>
              </w:rPr>
              <w:t>18. burza</w:t>
            </w:r>
          </w:p>
        </w:tc>
      </w:tr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/>
                <w:smallCaps/>
                <w:sz w:val="24"/>
                <w:szCs w:val="24"/>
              </w:rPr>
            </w:pPr>
            <w:r>
              <w:rPr>
                <w:rFonts w:ascii="Calibri" w:hAnsi="Calibri"/>
              </w:rPr>
              <w:t xml:space="preserve">Střední škola a Vyšší odborná škola cestovního ruchu, </w:t>
            </w:r>
            <w:proofErr w:type="spellStart"/>
            <w:r>
              <w:rPr>
                <w:rFonts w:ascii="Calibri" w:hAnsi="Calibri"/>
              </w:rPr>
              <w:t>Senovážné</w:t>
            </w:r>
            <w:proofErr w:type="spellEnd"/>
            <w:r>
              <w:rPr>
                <w:rFonts w:ascii="Calibri" w:hAnsi="Calibri"/>
              </w:rPr>
              <w:t xml:space="preserve"> náměstí 12, České Budějovice 370 01</w:t>
            </w:r>
          </w:p>
        </w:tc>
      </w:tr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Ing. Jindřiška </w:t>
            </w:r>
            <w:proofErr w:type="spellStart"/>
            <w:r>
              <w:rPr>
                <w:sz w:val="28"/>
                <w:szCs w:val="28"/>
              </w:rPr>
              <w:t>Baronová</w:t>
            </w:r>
            <w:proofErr w:type="spellEnd"/>
          </w:p>
        </w:tc>
      </w:tr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EKONOMIKA A PODNIKÁNÍ</w:t>
            </w:r>
          </w:p>
        </w:tc>
      </w:tr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II. ročník nástavbového studia, maturitní obor Společné stravování</w:t>
            </w:r>
          </w:p>
        </w:tc>
      </w:tr>
      <w:tr w:rsidR="00AA1B53" w:rsidTr="00AA1B53"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1B53" w:rsidRDefault="00AA1B53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>
              <w:rPr>
                <w:rFonts w:ascii="Calibri" w:hAnsi="Calibri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A1B53" w:rsidRDefault="00AA1B53" w:rsidP="00AA1B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únor 2014</w:t>
            </w:r>
          </w:p>
        </w:tc>
      </w:tr>
    </w:tbl>
    <w:p w:rsidR="00AA1B53" w:rsidRDefault="00AA1B53" w:rsidP="00AA1B53">
      <w:pPr>
        <w:rPr>
          <w:rFonts w:ascii="Calibri" w:eastAsia="Calibri" w:hAnsi="Calibri"/>
          <w:smallCaps/>
          <w:sz w:val="52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b/>
          <w:smallCaps/>
          <w:sz w:val="52"/>
          <w:lang w:eastAsia="en-US"/>
        </w:rPr>
      </w:pPr>
      <w:r>
        <w:rPr>
          <w:rFonts w:ascii="Calibri" w:eastAsia="Calibri" w:hAnsi="Calibri"/>
          <w:b/>
          <w:smallCaps/>
          <w:sz w:val="52"/>
          <w:lang w:eastAsia="en-US"/>
        </w:rPr>
        <w:t>Anotace:</w:t>
      </w:r>
    </w:p>
    <w:p w:rsidR="00AA1B53" w:rsidRDefault="00AA1B53" w:rsidP="00AA1B53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Ekonomika a podnikání v 2. ročníku pro studijní obor 65-41-L/51 Gastronomie, ŠVP: Společné stravování.</w:t>
      </w:r>
    </w:p>
    <w:p w:rsidR="00AA1B53" w:rsidRDefault="00AA1B53" w:rsidP="00AA1B53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Materiál se zabývá burzou a jejími účastníky, druhy burz, možnostmi obchodování na burzách. Uvádí české burzy a jejich spolupráci s dalšími světovými burzami, orgány burzy, akciové indexy, vysvětluje trh býčí a medvědí.</w:t>
      </w:r>
    </w:p>
    <w:p w:rsidR="00AA1B53" w:rsidRDefault="00AA1B53" w:rsidP="00AA1B53">
      <w:pPr>
        <w:rPr>
          <w:rFonts w:ascii="Calibri" w:eastAsia="Calibri" w:hAnsi="Calibri"/>
          <w:sz w:val="28"/>
          <w:szCs w:val="28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sz w:val="28"/>
          <w:szCs w:val="28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b/>
          <w:bCs/>
          <w:smallCaps/>
          <w:sz w:val="52"/>
          <w:szCs w:val="24"/>
          <w:lang w:eastAsia="en-US"/>
        </w:rPr>
      </w:pPr>
      <w:r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AA1B53" w:rsidRDefault="00AA1B53" w:rsidP="00AA1B53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</w:t>
      </w:r>
      <w:proofErr w:type="spellStart"/>
      <w:r>
        <w:rPr>
          <w:rFonts w:ascii="Calibri" w:eastAsia="Calibri" w:hAnsi="Calibri"/>
          <w:sz w:val="28"/>
          <w:szCs w:val="28"/>
          <w:lang w:eastAsia="en-US"/>
        </w:rPr>
        <w:t>dataprojektor</w:t>
      </w:r>
      <w:proofErr w:type="spellEnd"/>
      <w:r>
        <w:rPr>
          <w:rFonts w:ascii="Calibri" w:eastAsia="Calibri" w:hAnsi="Calibri"/>
          <w:sz w:val="28"/>
          <w:szCs w:val="28"/>
          <w:lang w:eastAsia="en-US"/>
        </w:rPr>
        <w:t xml:space="preserve">, promítací plochu a příslušné programové vybavení. </w:t>
      </w:r>
    </w:p>
    <w:p w:rsidR="00AA1B53" w:rsidRDefault="00AA1B53" w:rsidP="00AA1B53">
      <w:pPr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 xml:space="preserve">Tento materiál je vhodné využít jako pomůcku pro výuku. Žáci jej mohou použít jako podklad pro zápis poznámek. </w:t>
      </w:r>
    </w:p>
    <w:p w:rsidR="00AA1B53" w:rsidRDefault="00AA1B53" w:rsidP="00AA1B53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smallCaps/>
          <w:sz w:val="52"/>
          <w:szCs w:val="24"/>
          <w:lang w:eastAsia="en-US"/>
        </w:rPr>
      </w:pPr>
    </w:p>
    <w:p w:rsidR="00AA1B53" w:rsidRDefault="00AA1B53" w:rsidP="00AA1B53">
      <w:pPr>
        <w:rPr>
          <w:rFonts w:ascii="Calibri" w:eastAsia="Calibri" w:hAnsi="Calibri"/>
          <w:smallCaps/>
          <w:sz w:val="52"/>
          <w:lang w:eastAsia="en-US"/>
        </w:rPr>
      </w:pPr>
    </w:p>
    <w:p w:rsidR="007005E1" w:rsidRDefault="00055D8F" w:rsidP="007005E1">
      <w:pPr>
        <w:pStyle w:val="Nzev"/>
      </w:pPr>
      <w:r>
        <w:lastRenderedPageBreak/>
        <w:t>BURZA</w:t>
      </w:r>
    </w:p>
    <w:p w:rsidR="00E64EC1" w:rsidRDefault="00055D8F">
      <w:r>
        <w:t xml:space="preserve"> = místo, kde se obchoduje</w:t>
      </w:r>
    </w:p>
    <w:p w:rsidR="007005E1" w:rsidRDefault="00055D8F" w:rsidP="007005E1">
      <w:pPr>
        <w:pStyle w:val="Odstavecseseznamem"/>
        <w:numPr>
          <w:ilvl w:val="0"/>
          <w:numId w:val="1"/>
        </w:numPr>
      </w:pPr>
      <w:r>
        <w:t>již ve starověku burza zbožová (komoditní) v</w:t>
      </w:r>
      <w:r w:rsidR="007005E1">
        <w:t xml:space="preserve"> belgickém městě </w:t>
      </w:r>
      <w:proofErr w:type="gramStart"/>
      <w:r w:rsidR="007005E1">
        <w:t>Bruggy</w:t>
      </w:r>
      <w:r>
        <w:t>,později</w:t>
      </w:r>
      <w:proofErr w:type="gramEnd"/>
      <w:r>
        <w:t xml:space="preserve"> v Antverpách burza se zbožím, směnkami, akciemi, </w:t>
      </w:r>
    </w:p>
    <w:p w:rsidR="00055D8F" w:rsidRDefault="007005E1" w:rsidP="007005E1">
      <w:pPr>
        <w:pStyle w:val="Odstavecseseznamem"/>
        <w:numPr>
          <w:ilvl w:val="0"/>
          <w:numId w:val="1"/>
        </w:numPr>
      </w:pPr>
      <w:r>
        <w:t>s průmyslovou revolucí vznik dalších burz</w:t>
      </w:r>
    </w:p>
    <w:p w:rsidR="007005E1" w:rsidRDefault="00B616BF" w:rsidP="007005E1">
      <w:r>
        <w:rPr>
          <w:b/>
        </w:rPr>
        <w:t xml:space="preserve">- </w:t>
      </w:r>
      <w:r w:rsidR="007005E1" w:rsidRPr="007005E1">
        <w:rPr>
          <w:b/>
        </w:rPr>
        <w:t>význam burzy</w:t>
      </w:r>
      <w:r w:rsidR="007005E1">
        <w:t xml:space="preserve"> hodnocen podle </w:t>
      </w:r>
      <w:r w:rsidR="007005E1" w:rsidRPr="007005E1">
        <w:rPr>
          <w:b/>
        </w:rPr>
        <w:t>ročního objemu obchodu s CP</w:t>
      </w:r>
      <w:r w:rsidR="007005E1">
        <w:t xml:space="preserve"> – nejvýznamnější tokijská a </w:t>
      </w:r>
      <w:proofErr w:type="spellStart"/>
      <w:r w:rsidR="007005E1">
        <w:t>wallstreetská</w:t>
      </w:r>
      <w:proofErr w:type="spellEnd"/>
    </w:p>
    <w:p w:rsidR="007005E1" w:rsidRDefault="00B616BF" w:rsidP="007005E1">
      <w:r>
        <w:t>- je a. s., nezisková instituce, neplatí daně, příjmy má z provize obchodů</w:t>
      </w:r>
    </w:p>
    <w:p w:rsidR="00E20FAD" w:rsidRPr="00E20FAD" w:rsidRDefault="00E20FAD" w:rsidP="007005E1">
      <w:pPr>
        <w:rPr>
          <w:b/>
        </w:rPr>
      </w:pPr>
      <w:r w:rsidRPr="00E20FAD">
        <w:rPr>
          <w:b/>
        </w:rPr>
        <w:t>Na burze obchodují:</w:t>
      </w:r>
    </w:p>
    <w:p w:rsidR="00E20FAD" w:rsidRDefault="00E20FAD" w:rsidP="00E20FAD">
      <w:pPr>
        <w:pStyle w:val="Odstavecseseznamem"/>
        <w:numPr>
          <w:ilvl w:val="0"/>
          <w:numId w:val="3"/>
        </w:numPr>
      </w:pPr>
      <w:r w:rsidRPr="00E20FAD">
        <w:rPr>
          <w:b/>
        </w:rPr>
        <w:t>investoři</w:t>
      </w:r>
      <w:r>
        <w:t xml:space="preserve"> (jednotlivci, firmy, banky, fondy)</w:t>
      </w:r>
    </w:p>
    <w:p w:rsidR="00E20FAD" w:rsidRPr="00E20FAD" w:rsidRDefault="00E20FAD" w:rsidP="00E20FAD">
      <w:pPr>
        <w:pStyle w:val="Odstavecseseznamem"/>
        <w:numPr>
          <w:ilvl w:val="0"/>
          <w:numId w:val="3"/>
        </w:numPr>
        <w:rPr>
          <w:b/>
        </w:rPr>
      </w:pPr>
      <w:r w:rsidRPr="00E20FAD">
        <w:rPr>
          <w:b/>
        </w:rPr>
        <w:t>emitenti cenných papírů</w:t>
      </w:r>
      <w:r w:rsidR="00703218">
        <w:rPr>
          <w:b/>
        </w:rPr>
        <w:t xml:space="preserve"> </w:t>
      </w:r>
    </w:p>
    <w:p w:rsidR="00E20FAD" w:rsidRDefault="00E20FAD" w:rsidP="00E20FAD">
      <w:pPr>
        <w:pStyle w:val="Odstavecseseznamem"/>
        <w:numPr>
          <w:ilvl w:val="0"/>
          <w:numId w:val="3"/>
        </w:numPr>
      </w:pPr>
      <w:r w:rsidRPr="00E20FAD">
        <w:rPr>
          <w:b/>
        </w:rPr>
        <w:t>firmy</w:t>
      </w:r>
      <w:r>
        <w:t xml:space="preserve"> oprávněné kupovat a prodávat CP, banky (pro své klienty či na vlastní účet), brokeři (svým jménem pro někoho jiného), dealeři (na svůj účet pod svým jménem)</w:t>
      </w:r>
    </w:p>
    <w:p w:rsidR="00E20FAD" w:rsidRDefault="00E20FAD" w:rsidP="00E20FAD">
      <w:pPr>
        <w:pStyle w:val="Odstavecseseznamem"/>
        <w:numPr>
          <w:ilvl w:val="0"/>
          <w:numId w:val="3"/>
        </w:numPr>
      </w:pPr>
      <w:r w:rsidRPr="00E20FAD">
        <w:rPr>
          <w:b/>
        </w:rPr>
        <w:t>úřední dohodci</w:t>
      </w:r>
      <w:r>
        <w:t xml:space="preserve"> – jménem burzy zprostředkovávají obchody „na parketu“, dbají o regulérnost obchodů, stanoví kurzy a informují burzovní publikum o situaci na trhu</w:t>
      </w:r>
    </w:p>
    <w:p w:rsidR="00E20FAD" w:rsidRDefault="00E20FAD" w:rsidP="00E20FAD">
      <w:r w:rsidRPr="004272D1">
        <w:rPr>
          <w:u w:val="single"/>
        </w:rPr>
        <w:t>Účastnit se burzy</w:t>
      </w:r>
      <w:r>
        <w:t xml:space="preserve"> lze prostřednictvím </w:t>
      </w:r>
      <w:r w:rsidRPr="004272D1">
        <w:rPr>
          <w:b/>
        </w:rPr>
        <w:t>zprostředkovatelů</w:t>
      </w:r>
      <w:r>
        <w:t xml:space="preserve"> (obchodníci s CP) přes </w:t>
      </w:r>
      <w:r w:rsidRPr="004272D1">
        <w:rPr>
          <w:b/>
        </w:rPr>
        <w:t>makléře</w:t>
      </w:r>
      <w:r>
        <w:t xml:space="preserve"> (FO se státní licencí</w:t>
      </w:r>
      <w:r w:rsidR="004272D1">
        <w:t>).</w:t>
      </w:r>
    </w:p>
    <w:p w:rsidR="004272D1" w:rsidRDefault="004272D1" w:rsidP="00E20FAD">
      <w:pPr>
        <w:rPr>
          <w:b/>
        </w:rPr>
      </w:pPr>
      <w:r w:rsidRPr="004272D1">
        <w:rPr>
          <w:b/>
        </w:rPr>
        <w:t>Obchoduje se elektronicky na základě automatizovaného zpracování objednávek</w:t>
      </w:r>
      <w:r>
        <w:rPr>
          <w:b/>
        </w:rPr>
        <w:t>.</w:t>
      </w:r>
    </w:p>
    <w:p w:rsidR="00410FD3" w:rsidRDefault="00410FD3" w:rsidP="00E20FAD">
      <w:pPr>
        <w:rPr>
          <w:b/>
        </w:rPr>
      </w:pPr>
    </w:p>
    <w:p w:rsidR="004272D1" w:rsidRDefault="00A37D81" w:rsidP="00E20FAD">
      <w:pPr>
        <w:rPr>
          <w:b/>
        </w:rPr>
      </w:pPr>
      <w:r>
        <w:rPr>
          <w:b/>
        </w:rPr>
        <w:t>Druhy burz</w:t>
      </w:r>
    </w:p>
    <w:p w:rsidR="00A37D81" w:rsidRPr="00A37D81" w:rsidRDefault="00A37D81" w:rsidP="00A37D81">
      <w:pPr>
        <w:pStyle w:val="Odstavecseseznamem"/>
        <w:numPr>
          <w:ilvl w:val="0"/>
          <w:numId w:val="4"/>
        </w:numPr>
      </w:pPr>
      <w:r w:rsidRPr="00A37D81">
        <w:rPr>
          <w:b/>
        </w:rPr>
        <w:t xml:space="preserve">Všeobecné </w:t>
      </w:r>
      <w:r w:rsidRPr="00A37D81">
        <w:t>–</w:t>
      </w:r>
      <w:r w:rsidR="00AA1B53">
        <w:t xml:space="preserve"> </w:t>
      </w:r>
      <w:r w:rsidRPr="00A37D81">
        <w:t>s různými typy zboží (plodiny, kovy, cenné papíry)</w:t>
      </w:r>
    </w:p>
    <w:p w:rsidR="00A37D81" w:rsidRDefault="00A37D81" w:rsidP="00A37D81">
      <w:pPr>
        <w:pStyle w:val="Odstavecseseznamem"/>
        <w:numPr>
          <w:ilvl w:val="0"/>
          <w:numId w:val="4"/>
        </w:numPr>
      </w:pPr>
      <w:r w:rsidRPr="00A37D81">
        <w:rPr>
          <w:b/>
        </w:rPr>
        <w:t xml:space="preserve">Specializované </w:t>
      </w:r>
      <w:r w:rsidRPr="00A37D81">
        <w:t>– s CP, komoditami, loděmi (</w:t>
      </w:r>
      <w:r w:rsidRPr="00B72C8C">
        <w:rPr>
          <w:b/>
          <w:highlight w:val="yellow"/>
        </w:rPr>
        <w:t>Komoditní burza v Brně</w:t>
      </w:r>
      <w:r w:rsidRPr="00A37D81">
        <w:t>)</w:t>
      </w:r>
    </w:p>
    <w:p w:rsidR="00255612" w:rsidRDefault="00255612" w:rsidP="00255612">
      <w:pPr>
        <w:pStyle w:val="Odstavecseseznamem"/>
      </w:pPr>
    </w:p>
    <w:p w:rsidR="00410FD3" w:rsidRDefault="00410FD3" w:rsidP="00255612">
      <w:pPr>
        <w:pStyle w:val="Odstavecseseznamem"/>
      </w:pPr>
    </w:p>
    <w:p w:rsidR="00255612" w:rsidRDefault="00255612" w:rsidP="00255612">
      <w:pPr>
        <w:pStyle w:val="Odstavecseseznamem"/>
      </w:pPr>
      <w:r>
        <w:t xml:space="preserve">Trh, který </w:t>
      </w:r>
      <w:r>
        <w:rPr>
          <w:rStyle w:val="duraz"/>
        </w:rPr>
        <w:t>roste</w:t>
      </w:r>
      <w:r>
        <w:t xml:space="preserve"> (cena komodity jde nahoru), se nazývá </w:t>
      </w:r>
      <w:r>
        <w:rPr>
          <w:rStyle w:val="duraz"/>
        </w:rPr>
        <w:t>býčí</w:t>
      </w:r>
      <w:r>
        <w:t xml:space="preserve"> trh (bull). A naopak, každý trh, který </w:t>
      </w:r>
      <w:r>
        <w:rPr>
          <w:rStyle w:val="duraz"/>
        </w:rPr>
        <w:t>klesá</w:t>
      </w:r>
      <w:r>
        <w:t xml:space="preserve"> (cena komodity jde dolů), se nazývá </w:t>
      </w:r>
      <w:r>
        <w:rPr>
          <w:rStyle w:val="duraz"/>
        </w:rPr>
        <w:t>medvědí</w:t>
      </w:r>
      <w:r>
        <w:t xml:space="preserve"> trh (</w:t>
      </w:r>
      <w:proofErr w:type="spellStart"/>
      <w:r>
        <w:t>bear</w:t>
      </w:r>
      <w:proofErr w:type="spellEnd"/>
      <w:r>
        <w:t xml:space="preserve">). </w:t>
      </w:r>
    </w:p>
    <w:p w:rsidR="00410FD3" w:rsidRDefault="00410FD3" w:rsidP="00255612">
      <w:pPr>
        <w:pStyle w:val="Odstavecseseznamem"/>
      </w:pPr>
    </w:p>
    <w:p w:rsidR="00A37D81" w:rsidRPr="00A37D81" w:rsidRDefault="00A37D81" w:rsidP="00A37D81">
      <w:pPr>
        <w:pStyle w:val="Nzev"/>
      </w:pPr>
      <w:r>
        <w:t>Burza cenných papírů Praha, a. s.</w:t>
      </w:r>
    </w:p>
    <w:p w:rsidR="00AB61F1" w:rsidRDefault="00AB61F1" w:rsidP="00AB61F1">
      <w:pPr>
        <w:pStyle w:val="Odstavecseseznamem"/>
        <w:numPr>
          <w:ilvl w:val="0"/>
          <w:numId w:val="5"/>
        </w:numPr>
      </w:pPr>
      <w:r w:rsidRPr="00AB61F1">
        <w:t>největším a nejstarším organizátorem trhu s cennými papíry v</w:t>
      </w:r>
      <w:r>
        <w:t> </w:t>
      </w:r>
      <w:r w:rsidRPr="00AB61F1">
        <w:t>Č</w:t>
      </w:r>
      <w:r>
        <w:t>R</w:t>
      </w:r>
    </w:p>
    <w:p w:rsidR="00AB61F1" w:rsidRDefault="00AB61F1" w:rsidP="00AB61F1">
      <w:pPr>
        <w:pStyle w:val="Odstavecseseznamem"/>
        <w:numPr>
          <w:ilvl w:val="0"/>
          <w:numId w:val="5"/>
        </w:numPr>
      </w:pPr>
      <w:r>
        <w:t>p</w:t>
      </w:r>
      <w:r w:rsidRPr="00AB61F1">
        <w:t>o padesátileté přestávce způsobené druhou světovou válkou a komunistickým režimem b</w:t>
      </w:r>
      <w:r>
        <w:t>yla znovu otevřena v roce 1993</w:t>
      </w:r>
    </w:p>
    <w:p w:rsidR="00AB61F1" w:rsidRPr="00AB61F1" w:rsidRDefault="00AB61F1" w:rsidP="00AB61F1">
      <w:pPr>
        <w:pStyle w:val="Odstavecseseznamem"/>
        <w:numPr>
          <w:ilvl w:val="0"/>
          <w:numId w:val="5"/>
        </w:numPr>
      </w:pPr>
      <w:r>
        <w:t>n</w:t>
      </w:r>
      <w:r w:rsidRPr="00AB61F1">
        <w:t>avázala tak na činnost pražské komoditní a a</w:t>
      </w:r>
      <w:r>
        <w:t>kciové burzy založené roku 1871</w:t>
      </w:r>
    </w:p>
    <w:p w:rsidR="00AB61F1" w:rsidRDefault="00AB61F1" w:rsidP="00AB61F1">
      <w:r w:rsidRPr="00AB61F1">
        <w:lastRenderedPageBreak/>
        <w:t xml:space="preserve">Obchodování na BCPP probíhá </w:t>
      </w:r>
      <w:r w:rsidRPr="00946A15">
        <w:rPr>
          <w:b/>
        </w:rPr>
        <w:t>prostřednictvím licencovaných obchodníků</w:t>
      </w:r>
      <w:r w:rsidRPr="00AB61F1">
        <w:t xml:space="preserve"> s cennými papíry, kteří jsou </w:t>
      </w:r>
      <w:r w:rsidRPr="00946A15">
        <w:rPr>
          <w:b/>
        </w:rPr>
        <w:t>zároveň členy burzy</w:t>
      </w:r>
      <w:r w:rsidRPr="00AB61F1">
        <w:t xml:space="preserve">. Jedná se především o významné </w:t>
      </w:r>
      <w:r w:rsidRPr="00946A15">
        <w:rPr>
          <w:b/>
        </w:rPr>
        <w:t>banky</w:t>
      </w:r>
      <w:r w:rsidRPr="00AB61F1">
        <w:t xml:space="preserve"> a </w:t>
      </w:r>
      <w:r w:rsidRPr="00946A15">
        <w:rPr>
          <w:b/>
        </w:rPr>
        <w:t>makléřské firmy</w:t>
      </w:r>
      <w:r w:rsidRPr="00AB61F1">
        <w:t xml:space="preserve">. Jestliže </w:t>
      </w:r>
      <w:r w:rsidR="00946A15">
        <w:t>se tedy běžný investor rozhodne</w:t>
      </w:r>
      <w:r w:rsidRPr="00AB61F1">
        <w:t xml:space="preserve"> na burze investovat, je třeba obrátit se na některého ze </w:t>
      </w:r>
      <w:r w:rsidRPr="00946A15">
        <w:t>členů burzy.</w:t>
      </w:r>
    </w:p>
    <w:p w:rsidR="00946A15" w:rsidRDefault="00CC4B2A" w:rsidP="00CC4B2A">
      <w:pPr>
        <w:pStyle w:val="Citaceintenzivn"/>
        <w:pBdr>
          <w:bottom w:val="single" w:sz="4" w:space="9" w:color="4F81BD" w:themeColor="accent1"/>
        </w:pBdr>
        <w:tabs>
          <w:tab w:val="left" w:pos="1789"/>
          <w:tab w:val="center" w:pos="4536"/>
        </w:tabs>
        <w:jc w:val="left"/>
      </w:pPr>
      <w:r>
        <w:t xml:space="preserve">OBCHODOVAT </w:t>
      </w:r>
      <w:r w:rsidR="00946A15" w:rsidRPr="008708CA">
        <w:t>NA BURZE MOHOU POUZE JEJÍ ČLENOVÉ</w:t>
      </w:r>
      <w:r w:rsidR="008708CA">
        <w:t>: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 xml:space="preserve">BH </w:t>
      </w:r>
      <w:proofErr w:type="spellStart"/>
      <w:r w:rsidRPr="00CC4B2A">
        <w:t>Securities</w:t>
      </w:r>
      <w:proofErr w:type="spellEnd"/>
      <w:r w:rsidRPr="00CC4B2A">
        <w:t xml:space="preserve">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>CYRRUS,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>Česká spořitelna,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>Československá obchodní banka, a. 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 xml:space="preserve">DB </w:t>
      </w:r>
      <w:proofErr w:type="spellStart"/>
      <w:r w:rsidRPr="00CC4B2A">
        <w:t>SecuritiesS.A</w:t>
      </w:r>
      <w:proofErr w:type="spellEnd"/>
      <w:r w:rsidRPr="00CC4B2A">
        <w:t>.</w:t>
      </w:r>
      <w:r>
        <w:t xml:space="preserve"> (Varšava)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 xml:space="preserve">EQUILOR </w:t>
      </w:r>
      <w:proofErr w:type="spellStart"/>
      <w:r w:rsidRPr="00CC4B2A">
        <w:t>ZRt</w:t>
      </w:r>
      <w:proofErr w:type="spellEnd"/>
      <w:r>
        <w:t xml:space="preserve"> (Budapešť)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proofErr w:type="spellStart"/>
      <w:r w:rsidRPr="00CC4B2A">
        <w:t>Fio</w:t>
      </w:r>
      <w:proofErr w:type="spellEnd"/>
      <w:r w:rsidRPr="00CC4B2A">
        <w:t xml:space="preserve"> banka,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 xml:space="preserve">IPOPEMA </w:t>
      </w:r>
      <w:proofErr w:type="spellStart"/>
      <w:r w:rsidRPr="00CC4B2A">
        <w:t>SecuritiesS.A</w:t>
      </w:r>
      <w:proofErr w:type="spellEnd"/>
      <w:r w:rsidRPr="00CC4B2A">
        <w:t>.</w:t>
      </w:r>
      <w:r>
        <w:t xml:space="preserve"> (Varšava)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>J &amp; T BANKA,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>Komerční banka,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r w:rsidRPr="00CC4B2A">
        <w:t>LBBW Bank CZ a.s.</w:t>
      </w:r>
    </w:p>
    <w:p w:rsidR="00CC4B2A" w:rsidRDefault="00CC4B2A" w:rsidP="00CC4B2A">
      <w:pPr>
        <w:pStyle w:val="Odstavecseseznamem"/>
        <w:numPr>
          <w:ilvl w:val="0"/>
          <w:numId w:val="6"/>
        </w:numPr>
      </w:pPr>
      <w:proofErr w:type="spellStart"/>
      <w:r w:rsidRPr="00CC4B2A">
        <w:t>Patria</w:t>
      </w:r>
      <w:proofErr w:type="spellEnd"/>
      <w:r w:rsidRPr="00CC4B2A">
        <w:t xml:space="preserve"> Finance, a.s.</w:t>
      </w:r>
    </w:p>
    <w:p w:rsidR="00CC4B2A" w:rsidRDefault="00D31CB0" w:rsidP="00D31CB0">
      <w:pPr>
        <w:pStyle w:val="Odstavecseseznamem"/>
        <w:numPr>
          <w:ilvl w:val="0"/>
          <w:numId w:val="6"/>
        </w:numPr>
      </w:pPr>
      <w:r w:rsidRPr="00D31CB0">
        <w:t xml:space="preserve">PPF banka a.s. </w:t>
      </w:r>
    </w:p>
    <w:p w:rsidR="00D31CB0" w:rsidRDefault="00D31CB0" w:rsidP="00D31CB0">
      <w:pPr>
        <w:pStyle w:val="Odstavecseseznamem"/>
        <w:numPr>
          <w:ilvl w:val="0"/>
          <w:numId w:val="6"/>
        </w:numPr>
      </w:pPr>
      <w:proofErr w:type="spellStart"/>
      <w:r w:rsidRPr="00D31CB0">
        <w:t>RaiffeisenCentrobank</w:t>
      </w:r>
      <w:proofErr w:type="spellEnd"/>
      <w:r w:rsidRPr="00D31CB0">
        <w:t xml:space="preserve"> AG</w:t>
      </w:r>
      <w:r>
        <w:t xml:space="preserve"> (Vídeň)</w:t>
      </w:r>
    </w:p>
    <w:p w:rsidR="00D31CB0" w:rsidRDefault="00D31CB0" w:rsidP="00D31CB0">
      <w:pPr>
        <w:pStyle w:val="Odstavecseseznamem"/>
        <w:numPr>
          <w:ilvl w:val="0"/>
          <w:numId w:val="6"/>
        </w:numPr>
      </w:pPr>
      <w:proofErr w:type="spellStart"/>
      <w:r w:rsidRPr="00D31CB0">
        <w:t>Raiffeisenbank</w:t>
      </w:r>
      <w:proofErr w:type="spellEnd"/>
      <w:r w:rsidRPr="00D31CB0">
        <w:t xml:space="preserve"> a.s.</w:t>
      </w:r>
    </w:p>
    <w:p w:rsidR="00D31CB0" w:rsidRDefault="00D31CB0" w:rsidP="00D31CB0">
      <w:pPr>
        <w:pStyle w:val="Odstavecseseznamem"/>
        <w:numPr>
          <w:ilvl w:val="0"/>
          <w:numId w:val="6"/>
        </w:numPr>
      </w:pPr>
      <w:proofErr w:type="spellStart"/>
      <w:r w:rsidRPr="00D31CB0">
        <w:t>UniCredit</w:t>
      </w:r>
      <w:proofErr w:type="spellEnd"/>
      <w:r w:rsidRPr="00D31CB0">
        <w:t xml:space="preserve"> Bank </w:t>
      </w:r>
      <w:proofErr w:type="spellStart"/>
      <w:r w:rsidRPr="00D31CB0">
        <w:t>Czech</w:t>
      </w:r>
      <w:proofErr w:type="spellEnd"/>
      <w:r w:rsidRPr="00D31CB0">
        <w:t xml:space="preserve"> </w:t>
      </w:r>
      <w:proofErr w:type="spellStart"/>
      <w:r w:rsidRPr="00D31CB0">
        <w:t>Republic</w:t>
      </w:r>
      <w:proofErr w:type="spellEnd"/>
      <w:r w:rsidRPr="00D31CB0">
        <w:t xml:space="preserve"> </w:t>
      </w:r>
      <w:proofErr w:type="spellStart"/>
      <w:r w:rsidRPr="00D31CB0">
        <w:t>and</w:t>
      </w:r>
      <w:proofErr w:type="spellEnd"/>
      <w:r w:rsidRPr="00D31CB0">
        <w:t xml:space="preserve"> </w:t>
      </w:r>
      <w:proofErr w:type="spellStart"/>
      <w:r w:rsidRPr="00D31CB0">
        <w:t>Slovakia</w:t>
      </w:r>
      <w:proofErr w:type="spellEnd"/>
      <w:r w:rsidRPr="00D31CB0">
        <w:t>, a.s.</w:t>
      </w:r>
    </w:p>
    <w:p w:rsidR="00D31CB0" w:rsidRDefault="00D31CB0" w:rsidP="00D31CB0">
      <w:pPr>
        <w:pStyle w:val="Odstavecseseznamem"/>
        <w:numPr>
          <w:ilvl w:val="0"/>
          <w:numId w:val="6"/>
        </w:numPr>
      </w:pPr>
      <w:r w:rsidRPr="00D31CB0">
        <w:t>WOOD &amp;</w:t>
      </w:r>
      <w:proofErr w:type="spellStart"/>
      <w:r w:rsidRPr="00D31CB0">
        <w:t>CompanyFinancialServices</w:t>
      </w:r>
      <w:proofErr w:type="spellEnd"/>
      <w:r w:rsidRPr="00D31CB0">
        <w:t>, a.s.</w:t>
      </w:r>
    </w:p>
    <w:p w:rsidR="003E46BD" w:rsidRPr="009B4990" w:rsidRDefault="003E46BD" w:rsidP="009B4990">
      <w:pPr>
        <w:pStyle w:val="Citaceintenzivn"/>
        <w:pBdr>
          <w:bottom w:val="single" w:sz="4" w:space="9" w:color="4F81BD" w:themeColor="accent1"/>
        </w:pBdr>
        <w:tabs>
          <w:tab w:val="left" w:pos="1789"/>
          <w:tab w:val="center" w:pos="4536"/>
        </w:tabs>
        <w:jc w:val="left"/>
        <w:rPr>
          <w:b/>
        </w:rPr>
      </w:pPr>
      <w:r w:rsidRPr="009B4990">
        <w:rPr>
          <w:b/>
        </w:rPr>
        <w:t>Další osoby oprávněné uzavírat burzovní obchody</w:t>
      </w:r>
    </w:p>
    <w:p w:rsidR="00D31CB0" w:rsidRDefault="00D31CB0" w:rsidP="00D31CB0">
      <w:pPr>
        <w:pStyle w:val="Odstavecseseznamem"/>
        <w:numPr>
          <w:ilvl w:val="0"/>
          <w:numId w:val="7"/>
        </w:numPr>
      </w:pPr>
      <w:r w:rsidRPr="00D31CB0">
        <w:t>ČESKÁ NÁRODNÍ BANKA</w:t>
      </w:r>
    </w:p>
    <w:p w:rsidR="00D31CB0" w:rsidRPr="00D31CB0" w:rsidRDefault="00D31CB0" w:rsidP="00FC5C17">
      <w:pPr>
        <w:pStyle w:val="Odstavecseseznamem"/>
        <w:numPr>
          <w:ilvl w:val="0"/>
          <w:numId w:val="7"/>
        </w:numPr>
        <w:pBdr>
          <w:bottom w:val="single" w:sz="4" w:space="1" w:color="auto"/>
        </w:pBdr>
      </w:pPr>
      <w:r w:rsidRPr="00D31CB0">
        <w:t>Ministerstvo financí ČR</w:t>
      </w:r>
    </w:p>
    <w:p w:rsidR="00FC5C17" w:rsidRPr="00104C83" w:rsidRDefault="00FC5C17" w:rsidP="00FC5C17">
      <w:pPr>
        <w:pStyle w:val="Normlnweb"/>
        <w:numPr>
          <w:ilvl w:val="0"/>
          <w:numId w:val="10"/>
        </w:numPr>
        <w:rPr>
          <w:rFonts w:asciiTheme="minorHAnsi" w:eastAsiaTheme="minorEastAsia" w:hAnsiTheme="minorHAnsi" w:cstheme="minorBidi"/>
          <w:sz w:val="22"/>
          <w:szCs w:val="22"/>
        </w:rPr>
      </w:pPr>
      <w:r w:rsidRPr="00104C83">
        <w:rPr>
          <w:rFonts w:asciiTheme="minorHAnsi" w:eastAsiaTheme="minorEastAsia" w:hAnsiTheme="minorHAnsi" w:cstheme="minorBidi"/>
          <w:sz w:val="22"/>
          <w:szCs w:val="22"/>
        </w:rPr>
        <w:t xml:space="preserve">BCPP tvoří spolu se svými dceřinými společnostmi </w:t>
      </w:r>
      <w:r w:rsidRPr="00945216">
        <w:rPr>
          <w:rFonts w:asciiTheme="minorHAnsi" w:eastAsiaTheme="minorEastAsia" w:hAnsiTheme="minorHAnsi" w:cstheme="minorBidi"/>
          <w:b/>
          <w:sz w:val="22"/>
          <w:szCs w:val="22"/>
        </w:rPr>
        <w:t>skupinu PX</w:t>
      </w:r>
      <w:r w:rsidRPr="00104C83">
        <w:rPr>
          <w:rFonts w:asciiTheme="minorHAnsi" w:eastAsiaTheme="minorEastAsia" w:hAnsiTheme="minorHAnsi" w:cstheme="minorBidi"/>
          <w:sz w:val="22"/>
          <w:szCs w:val="22"/>
        </w:rPr>
        <w:t>. Vedle burzy jsou nejvýznamnějšími společnostmi skupiny </w:t>
      </w:r>
      <w:r w:rsidRPr="00B72C8C">
        <w:rPr>
          <w:rFonts w:asciiTheme="minorHAnsi" w:eastAsiaTheme="minorEastAsia" w:hAnsiTheme="minorHAnsi" w:cstheme="minorBidi"/>
          <w:b/>
          <w:sz w:val="22"/>
          <w:szCs w:val="22"/>
          <w:highlight w:val="yellow"/>
        </w:rPr>
        <w:t>POWER EXCHANGE CENTRAL EUROPE</w:t>
      </w:r>
      <w:r w:rsidRPr="00104C83">
        <w:rPr>
          <w:rFonts w:asciiTheme="minorHAnsi" w:eastAsiaTheme="minorEastAsia" w:hAnsiTheme="minorHAnsi" w:cstheme="minorBidi"/>
          <w:sz w:val="22"/>
          <w:szCs w:val="22"/>
        </w:rPr>
        <w:t>, a.s. (obchodní platforma pro obchodování s elektřinou v České republice, na Slovensku a v Maďarsku) a </w:t>
      </w:r>
      <w:r w:rsidRPr="00B72C8C">
        <w:rPr>
          <w:rFonts w:asciiTheme="minorHAnsi" w:eastAsiaTheme="minorEastAsia" w:hAnsiTheme="minorHAnsi" w:cstheme="minorBidi"/>
          <w:b/>
          <w:sz w:val="22"/>
          <w:szCs w:val="22"/>
          <w:highlight w:val="yellow"/>
        </w:rPr>
        <w:t>Centrální depozitář cenných papírů</w:t>
      </w:r>
      <w:r w:rsidRPr="00104C83">
        <w:rPr>
          <w:rFonts w:asciiTheme="minorHAnsi" w:eastAsiaTheme="minorEastAsia" w:hAnsiTheme="minorHAnsi" w:cstheme="minorBidi"/>
          <w:sz w:val="22"/>
          <w:szCs w:val="22"/>
        </w:rPr>
        <w:t>, a.s. (vypořádání obchodů s cennými papíry na českém kapitálovém trhu, vede centrální evidenci zaknihovaných cenných papírů vydaných v České republice). </w:t>
      </w:r>
    </w:p>
    <w:p w:rsidR="00FC5C17" w:rsidRDefault="00FC5C17" w:rsidP="00FC5C17">
      <w:pPr>
        <w:pStyle w:val="Normlnweb"/>
        <w:numPr>
          <w:ilvl w:val="0"/>
          <w:numId w:val="10"/>
        </w:numPr>
        <w:rPr>
          <w:rFonts w:asciiTheme="minorHAnsi" w:eastAsiaTheme="minorEastAsia" w:hAnsiTheme="minorHAnsi" w:cstheme="minorBidi"/>
          <w:sz w:val="22"/>
          <w:szCs w:val="22"/>
        </w:rPr>
      </w:pPr>
      <w:r w:rsidRPr="00104C83">
        <w:rPr>
          <w:rFonts w:asciiTheme="minorHAnsi" w:eastAsiaTheme="minorEastAsia" w:hAnsiTheme="minorHAnsi" w:cstheme="minorBidi"/>
          <w:sz w:val="22"/>
          <w:szCs w:val="22"/>
        </w:rPr>
        <w:t>BCPP je od r. 2009 součástí skupiny </w:t>
      </w:r>
      <w:r w:rsidRPr="00945216">
        <w:rPr>
          <w:rFonts w:asciiTheme="minorHAnsi" w:eastAsiaTheme="minorEastAsia" w:hAnsiTheme="minorHAnsi" w:cstheme="minorBidi"/>
          <w:b/>
          <w:sz w:val="22"/>
          <w:szCs w:val="22"/>
        </w:rPr>
        <w:t xml:space="preserve">CEE </w:t>
      </w:r>
      <w:proofErr w:type="spellStart"/>
      <w:r w:rsidRPr="00945216">
        <w:rPr>
          <w:rFonts w:asciiTheme="minorHAnsi" w:eastAsiaTheme="minorEastAsia" w:hAnsiTheme="minorHAnsi" w:cstheme="minorBidi"/>
          <w:b/>
          <w:sz w:val="22"/>
          <w:szCs w:val="22"/>
        </w:rPr>
        <w:t>Stock</w:t>
      </w:r>
      <w:proofErr w:type="spellEnd"/>
      <w:r w:rsidRPr="00945216">
        <w:rPr>
          <w:rFonts w:asciiTheme="minorHAnsi" w:eastAsiaTheme="minorEastAsia" w:hAnsiTheme="minorHAnsi" w:cstheme="minorBidi"/>
          <w:b/>
          <w:sz w:val="22"/>
          <w:szCs w:val="22"/>
        </w:rPr>
        <w:t xml:space="preserve"> Exchange </w:t>
      </w:r>
      <w:proofErr w:type="spellStart"/>
      <w:r w:rsidRPr="00945216">
        <w:rPr>
          <w:rFonts w:asciiTheme="minorHAnsi" w:eastAsiaTheme="minorEastAsia" w:hAnsiTheme="minorHAnsi" w:cstheme="minorBidi"/>
          <w:b/>
          <w:sz w:val="22"/>
          <w:szCs w:val="22"/>
        </w:rPr>
        <w:t>Group</w:t>
      </w:r>
      <w:proofErr w:type="spellEnd"/>
      <w:r w:rsidRPr="00104C83">
        <w:rPr>
          <w:rFonts w:asciiTheme="minorHAnsi" w:eastAsiaTheme="minorEastAsia" w:hAnsiTheme="minorHAnsi" w:cstheme="minorBidi"/>
          <w:sz w:val="22"/>
          <w:szCs w:val="22"/>
        </w:rPr>
        <w:t>, jejímiž členy jsou také další tři středoevropské burzy cenných papírů, a to Burza cenných papírů Vídeň (</w:t>
      </w:r>
      <w:proofErr w:type="spellStart"/>
      <w:r w:rsidRPr="00104C83">
        <w:rPr>
          <w:rFonts w:asciiTheme="minorHAnsi" w:eastAsiaTheme="minorEastAsia" w:hAnsiTheme="minorHAnsi" w:cstheme="minorBidi"/>
          <w:sz w:val="22"/>
          <w:szCs w:val="22"/>
        </w:rPr>
        <w:t>WienerBörse</w:t>
      </w:r>
      <w:proofErr w:type="spellEnd"/>
      <w:r w:rsidRPr="00104C83">
        <w:rPr>
          <w:rFonts w:asciiTheme="minorHAnsi" w:eastAsiaTheme="minorEastAsia" w:hAnsiTheme="minorHAnsi" w:cstheme="minorBidi"/>
          <w:sz w:val="22"/>
          <w:szCs w:val="22"/>
        </w:rPr>
        <w:t>), Burza cenných papírů Budapešť (</w:t>
      </w:r>
      <w:proofErr w:type="spellStart"/>
      <w:r w:rsidRPr="00104C83">
        <w:rPr>
          <w:rFonts w:asciiTheme="minorHAnsi" w:eastAsiaTheme="minorEastAsia" w:hAnsiTheme="minorHAnsi" w:cstheme="minorBidi"/>
          <w:sz w:val="22"/>
          <w:szCs w:val="22"/>
        </w:rPr>
        <w:t>BudapestiÉrtéktőzsde</w:t>
      </w:r>
      <w:proofErr w:type="spellEnd"/>
      <w:r w:rsidRPr="00104C83">
        <w:rPr>
          <w:rFonts w:asciiTheme="minorHAnsi" w:eastAsiaTheme="minorEastAsia" w:hAnsiTheme="minorHAnsi" w:cstheme="minorBidi"/>
          <w:sz w:val="22"/>
          <w:szCs w:val="22"/>
        </w:rPr>
        <w:t>) a Burza cenných papírů Lublaň (</w:t>
      </w:r>
      <w:proofErr w:type="spellStart"/>
      <w:r w:rsidRPr="00104C83">
        <w:rPr>
          <w:rFonts w:asciiTheme="minorHAnsi" w:eastAsiaTheme="minorEastAsia" w:hAnsiTheme="minorHAnsi" w:cstheme="minorBidi"/>
          <w:sz w:val="22"/>
          <w:szCs w:val="22"/>
        </w:rPr>
        <w:t>Ljubljanskaborza</w:t>
      </w:r>
      <w:proofErr w:type="spellEnd"/>
      <w:r w:rsidRPr="00104C83">
        <w:rPr>
          <w:rFonts w:asciiTheme="minorHAnsi" w:eastAsiaTheme="minorEastAsia" w:hAnsiTheme="minorHAnsi" w:cstheme="minorBidi"/>
          <w:sz w:val="22"/>
          <w:szCs w:val="22"/>
        </w:rPr>
        <w:t>). Dnes je největší skupinou burz ve střední a východní Evropě.</w:t>
      </w:r>
    </w:p>
    <w:p w:rsidR="00FC5C17" w:rsidRDefault="00FC5C17" w:rsidP="00FC5C17">
      <w:pPr>
        <w:pStyle w:val="Normlnweb"/>
        <w:numPr>
          <w:ilvl w:val="0"/>
          <w:numId w:val="10"/>
        </w:numPr>
        <w:rPr>
          <w:rFonts w:asciiTheme="minorHAnsi" w:eastAsiaTheme="minorEastAsia" w:hAnsiTheme="minorHAnsi" w:cstheme="minorBidi"/>
          <w:sz w:val="22"/>
          <w:szCs w:val="22"/>
        </w:rPr>
      </w:pPr>
      <w:r w:rsidRPr="00104C83">
        <w:rPr>
          <w:rFonts w:asciiTheme="minorHAnsi" w:eastAsiaTheme="minorEastAsia" w:hAnsiTheme="minorHAnsi" w:cstheme="minorBidi"/>
          <w:sz w:val="22"/>
          <w:szCs w:val="22"/>
        </w:rPr>
        <w:t>BCPP je členem </w:t>
      </w:r>
      <w:hyperlink r:id="rId9" w:tgtFrame="_blank" w:history="1">
        <w:r w:rsidRPr="00945216">
          <w:rPr>
            <w:rFonts w:asciiTheme="minorHAnsi" w:eastAsiaTheme="minorEastAsia" w:hAnsiTheme="minorHAnsi" w:cstheme="minorBidi"/>
            <w:b/>
            <w:sz w:val="22"/>
            <w:szCs w:val="22"/>
          </w:rPr>
          <w:t>Federace evropských burz (FESE)</w:t>
        </w:r>
      </w:hyperlink>
    </w:p>
    <w:p w:rsidR="00FC5C17" w:rsidRDefault="00FC5C17" w:rsidP="00FC5C17">
      <w:pPr>
        <w:pStyle w:val="Normlnweb"/>
        <w:numPr>
          <w:ilvl w:val="0"/>
          <w:numId w:val="10"/>
        </w:numPr>
        <w:rPr>
          <w:rFonts w:asciiTheme="minorHAnsi" w:eastAsiaTheme="minorEastAsia" w:hAnsiTheme="minorHAnsi" w:cstheme="minorBidi"/>
          <w:sz w:val="22"/>
          <w:szCs w:val="22"/>
        </w:rPr>
      </w:pPr>
      <w:r>
        <w:rPr>
          <w:rFonts w:asciiTheme="minorHAnsi" w:eastAsiaTheme="minorEastAsia" w:hAnsiTheme="minorHAnsi" w:cstheme="minorBidi"/>
          <w:sz w:val="22"/>
          <w:szCs w:val="22"/>
        </w:rPr>
        <w:t xml:space="preserve">V roce 2008 došlo k prodeji pražské burzy – </w:t>
      </w:r>
      <w:r w:rsidRPr="00945216">
        <w:rPr>
          <w:rFonts w:asciiTheme="minorHAnsi" w:eastAsiaTheme="minorEastAsia" w:hAnsiTheme="minorHAnsi" w:cstheme="minorBidi"/>
          <w:b/>
          <w:sz w:val="22"/>
          <w:szCs w:val="22"/>
        </w:rPr>
        <w:t>vídeňská burza</w:t>
      </w:r>
      <w:r>
        <w:rPr>
          <w:rFonts w:asciiTheme="minorHAnsi" w:eastAsiaTheme="minorEastAsia" w:hAnsiTheme="minorHAnsi" w:cstheme="minorBidi"/>
          <w:sz w:val="22"/>
          <w:szCs w:val="22"/>
        </w:rPr>
        <w:t xml:space="preserve"> koupila 92,4 % podíl a stala se majoritním vlastníkem (</w:t>
      </w:r>
      <w:r w:rsidRPr="000E7B74">
        <w:rPr>
          <w:rFonts w:asciiTheme="minorHAnsi" w:eastAsiaTheme="minorEastAsia" w:hAnsiTheme="minorHAnsi" w:cstheme="minorBidi"/>
          <w:sz w:val="22"/>
          <w:szCs w:val="22"/>
        </w:rPr>
        <w:t>drží 92,7</w:t>
      </w:r>
      <w:r>
        <w:rPr>
          <w:rFonts w:asciiTheme="minorHAnsi" w:eastAsiaTheme="minorEastAsia" w:hAnsiTheme="minorHAnsi" w:cstheme="minorBidi"/>
          <w:sz w:val="22"/>
          <w:szCs w:val="22"/>
        </w:rPr>
        <w:t>4</w:t>
      </w:r>
      <w:r w:rsidRPr="000E7B74">
        <w:rPr>
          <w:rFonts w:asciiTheme="minorHAnsi" w:eastAsiaTheme="minorEastAsia" w:hAnsiTheme="minorHAnsi" w:cstheme="minorBidi"/>
          <w:sz w:val="22"/>
          <w:szCs w:val="22"/>
        </w:rPr>
        <w:t xml:space="preserve"> % akcií</w:t>
      </w:r>
      <w:r>
        <w:rPr>
          <w:rFonts w:asciiTheme="minorHAnsi" w:eastAsiaTheme="minorEastAsia" w:hAnsiTheme="minorHAnsi" w:cstheme="minorBidi"/>
          <w:sz w:val="22"/>
          <w:szCs w:val="22"/>
        </w:rPr>
        <w:t>)</w:t>
      </w:r>
      <w:r w:rsidRPr="000E7B74">
        <w:rPr>
          <w:rFonts w:asciiTheme="minorHAnsi" w:eastAsiaTheme="minorEastAsia" w:hAnsiTheme="minorHAnsi" w:cstheme="minorBidi"/>
          <w:sz w:val="22"/>
          <w:szCs w:val="22"/>
        </w:rPr>
        <w:t>.</w:t>
      </w:r>
    </w:p>
    <w:p w:rsidR="00FC5C17" w:rsidRDefault="00FC5C17" w:rsidP="00FC5C17">
      <w:bookmarkStart w:id="0" w:name="_GoBack"/>
      <w:bookmarkEnd w:id="0"/>
    </w:p>
    <w:p w:rsidR="00FC5C17" w:rsidRDefault="00FE10CD" w:rsidP="00FC5C17">
      <w:pPr>
        <w:jc w:val="right"/>
      </w:pPr>
      <w:hyperlink r:id="rId10" w:history="1">
        <w:r w:rsidR="00FC5C17" w:rsidRPr="0007514F">
          <w:rPr>
            <w:rStyle w:val="Hypertextovodkaz"/>
          </w:rPr>
          <w:t>http://www.bcpp.cz/dokument.aspx?k=Profil-Burzy</w:t>
        </w:r>
      </w:hyperlink>
    </w:p>
    <w:p w:rsidR="00104C83" w:rsidRDefault="00104C83" w:rsidP="00104C83">
      <w:pPr>
        <w:rPr>
          <w:b/>
        </w:rPr>
      </w:pPr>
    </w:p>
    <w:p w:rsidR="00104C83" w:rsidRDefault="00FC5C17" w:rsidP="00104C83">
      <w:pPr>
        <w:rPr>
          <w:b/>
        </w:rPr>
      </w:pPr>
      <w:r>
        <w:rPr>
          <w:b/>
        </w:rPr>
        <w:t>Orgány burzy:</w:t>
      </w:r>
    </w:p>
    <w:p w:rsidR="00FC5C17" w:rsidRPr="00FC5C17" w:rsidRDefault="00FC5C17" w:rsidP="00FC5C17">
      <w:pPr>
        <w:pStyle w:val="Odstavecseseznamem"/>
        <w:numPr>
          <w:ilvl w:val="0"/>
          <w:numId w:val="9"/>
        </w:numPr>
        <w:rPr>
          <w:b/>
        </w:rPr>
      </w:pPr>
      <w:r w:rsidRPr="00FC5C17">
        <w:t xml:space="preserve">Nejvyšší orgán </w:t>
      </w:r>
      <w:r w:rsidRPr="00FC5C17">
        <w:rPr>
          <w:b/>
        </w:rPr>
        <w:t>= valná hromada</w:t>
      </w:r>
    </w:p>
    <w:p w:rsidR="00FC5C17" w:rsidRPr="00FC5C17" w:rsidRDefault="00CA5D09" w:rsidP="00FC5C17">
      <w:pPr>
        <w:pStyle w:val="Odstavecseseznamem"/>
        <w:numPr>
          <w:ilvl w:val="0"/>
          <w:numId w:val="9"/>
        </w:numPr>
        <w:rPr>
          <w:b/>
        </w:rPr>
      </w:pPr>
      <w:r>
        <w:t>Statutární a v</w:t>
      </w:r>
      <w:r w:rsidR="00FC5C17" w:rsidRPr="00FC5C17">
        <w:t xml:space="preserve">ýkonný orgán </w:t>
      </w:r>
      <w:r w:rsidR="00FC5C17" w:rsidRPr="00FC5C17">
        <w:rPr>
          <w:b/>
        </w:rPr>
        <w:t>= burzovní komora</w:t>
      </w:r>
      <w:r w:rsidR="005E126B">
        <w:rPr>
          <w:b/>
        </w:rPr>
        <w:t xml:space="preserve"> </w:t>
      </w:r>
      <w:r w:rsidRPr="00CA5D09">
        <w:t>(jako představenstvo</w:t>
      </w:r>
      <w:r>
        <w:t xml:space="preserve">, voleni val. </w:t>
      </w:r>
      <w:proofErr w:type="gramStart"/>
      <w:r>
        <w:t>hromadou</w:t>
      </w:r>
      <w:proofErr w:type="gramEnd"/>
      <w:r w:rsidRPr="00CA5D09">
        <w:t>)</w:t>
      </w:r>
    </w:p>
    <w:p w:rsidR="00FC5C17" w:rsidRPr="00CA5D09" w:rsidRDefault="00FC5C17" w:rsidP="00FC5C17">
      <w:pPr>
        <w:pStyle w:val="Odstavecseseznamem"/>
        <w:numPr>
          <w:ilvl w:val="0"/>
          <w:numId w:val="9"/>
        </w:numPr>
      </w:pPr>
      <w:r w:rsidRPr="00FC5C17">
        <w:t xml:space="preserve">Kontrolní orgán </w:t>
      </w:r>
      <w:r w:rsidRPr="00FC5C17">
        <w:rPr>
          <w:b/>
        </w:rPr>
        <w:t>= dozorčí rada</w:t>
      </w:r>
      <w:r w:rsidR="00B72C8C">
        <w:rPr>
          <w:b/>
        </w:rPr>
        <w:t xml:space="preserve"> </w:t>
      </w:r>
      <w:r w:rsidR="00CA5D09" w:rsidRPr="00CA5D09">
        <w:t xml:space="preserve">(voleni </w:t>
      </w:r>
      <w:proofErr w:type="gramStart"/>
      <w:r w:rsidR="00CA5D09" w:rsidRPr="00CA5D09">
        <w:t>val</w:t>
      </w:r>
      <w:proofErr w:type="gramEnd"/>
      <w:r w:rsidR="00CA5D09" w:rsidRPr="00CA5D09">
        <w:t>.</w:t>
      </w:r>
      <w:proofErr w:type="gramStart"/>
      <w:r w:rsidR="00CA5D09" w:rsidRPr="00CA5D09">
        <w:t>hrom</w:t>
      </w:r>
      <w:proofErr w:type="gramEnd"/>
      <w:r w:rsidR="00CA5D09" w:rsidRPr="00CA5D09">
        <w:t>.)</w:t>
      </w:r>
    </w:p>
    <w:p w:rsidR="00FC5C17" w:rsidRPr="00FC5C17" w:rsidRDefault="00FC5C17" w:rsidP="00FC5C17">
      <w:pPr>
        <w:pStyle w:val="Odstavecseseznamem"/>
        <w:numPr>
          <w:ilvl w:val="0"/>
          <w:numId w:val="9"/>
        </w:numPr>
        <w:rPr>
          <w:b/>
        </w:rPr>
      </w:pPr>
      <w:r w:rsidRPr="00FC5C17">
        <w:t xml:space="preserve">V čele stojí </w:t>
      </w:r>
      <w:r w:rsidRPr="00FC5C17">
        <w:rPr>
          <w:b/>
        </w:rPr>
        <w:t>generální ředitel</w:t>
      </w:r>
    </w:p>
    <w:p w:rsidR="00FC5C17" w:rsidRPr="00946A15" w:rsidRDefault="00FE10CD" w:rsidP="00FC5C17">
      <w:pPr>
        <w:jc w:val="right"/>
        <w:rPr>
          <w:b/>
        </w:rPr>
      </w:pPr>
      <w:hyperlink r:id="rId11" w:history="1">
        <w:r w:rsidR="00FC5C17" w:rsidRPr="0007514F">
          <w:rPr>
            <w:rStyle w:val="Hypertextovodkaz"/>
            <w:b/>
          </w:rPr>
          <w:t>http://www.bcpp.cz/dokument.aspx?k=Profil-Burzy-Struktura</w:t>
        </w:r>
      </w:hyperlink>
    </w:p>
    <w:p w:rsidR="00055D8F" w:rsidRDefault="00A23276" w:rsidP="00945216">
      <w:pPr>
        <w:pStyle w:val="Nadpis2"/>
      </w:pPr>
      <w:r>
        <w:rPr>
          <w:noProof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2079</wp:posOffset>
            </wp:positionH>
            <wp:positionV relativeFrom="paragraph">
              <wp:posOffset>10151</wp:posOffset>
            </wp:positionV>
            <wp:extent cx="4251960" cy="1916013"/>
            <wp:effectExtent l="0" t="0" r="0" b="0"/>
            <wp:wrapNone/>
            <wp:docPr id="15" name="Diagram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anchor>
        </w:drawing>
      </w:r>
      <w:r w:rsidR="00945216">
        <w:t>Burzovní trhy</w:t>
      </w:r>
    </w:p>
    <w:p w:rsidR="00286162" w:rsidRDefault="00286162" w:rsidP="00945216"/>
    <w:p w:rsidR="00286162" w:rsidRPr="00286162" w:rsidRDefault="00286162" w:rsidP="00286162"/>
    <w:p w:rsidR="00286162" w:rsidRPr="00286162" w:rsidRDefault="00286162" w:rsidP="00286162"/>
    <w:p w:rsidR="00286162" w:rsidRPr="00286162" w:rsidRDefault="00286162" w:rsidP="00286162"/>
    <w:p w:rsidR="00286162" w:rsidRPr="00286162" w:rsidRDefault="00286162" w:rsidP="00286162"/>
    <w:p w:rsidR="00945216" w:rsidRDefault="00286162" w:rsidP="00286162">
      <w:pPr>
        <w:spacing w:after="0"/>
      </w:pPr>
      <w:r w:rsidRPr="00286162">
        <w:rPr>
          <w:b/>
        </w:rPr>
        <w:t>Hlavní trh – regulovaný oficiální</w:t>
      </w:r>
      <w:r>
        <w:t>, v souladu se zákonem o podnikání na kapitálovém trhu,</w:t>
      </w:r>
    </w:p>
    <w:p w:rsidR="00286162" w:rsidRDefault="00286162" w:rsidP="00FD5383">
      <w:pPr>
        <w:spacing w:after="0"/>
        <w:ind w:left="1416"/>
      </w:pPr>
      <w:r>
        <w:t>- emitent CP nebo jím pověřený člen burzy žádá o přijetí emise podle zákona a burzovních pravidel za předepsaných podmínek</w:t>
      </w:r>
      <w:r w:rsidR="003E0840">
        <w:t xml:space="preserve">, </w:t>
      </w:r>
      <w:r>
        <w:t>obchoduje s </w:t>
      </w:r>
      <w:r w:rsidR="005E52D2">
        <w:t>nej</w:t>
      </w:r>
      <w:r>
        <w:t>kvalitn</w:t>
      </w:r>
      <w:r w:rsidR="005E52D2">
        <w:t>ějšími</w:t>
      </w:r>
      <w:r>
        <w:t xml:space="preserve"> CP</w:t>
      </w:r>
    </w:p>
    <w:p w:rsidR="00286162" w:rsidRDefault="00286162" w:rsidP="00FD5383">
      <w:pPr>
        <w:spacing w:after="0"/>
      </w:pPr>
      <w:r w:rsidRPr="0065616D">
        <w:rPr>
          <w:b/>
        </w:rPr>
        <w:t>Volný trh – regulovaný</w:t>
      </w:r>
      <w:r>
        <w:t>,</w:t>
      </w:r>
      <w:r w:rsidR="0065616D">
        <w:t xml:space="preserve"> obdobné trhu hlavnímu,</w:t>
      </w:r>
      <w:r w:rsidR="00763D9A">
        <w:t xml:space="preserve"> </w:t>
      </w:r>
      <w:r w:rsidR="0065616D">
        <w:t>obchoduje s poměrně kvalitními CP</w:t>
      </w:r>
    </w:p>
    <w:p w:rsidR="0065616D" w:rsidRDefault="0065616D" w:rsidP="00286162">
      <w:r w:rsidRPr="0065616D">
        <w:rPr>
          <w:b/>
        </w:rPr>
        <w:t xml:space="preserve">Trh MTF </w:t>
      </w:r>
      <w:r w:rsidR="005E126B">
        <w:rPr>
          <w:b/>
        </w:rPr>
        <w:t xml:space="preserve">= mnohostranný obchodní systém </w:t>
      </w:r>
      <w:r w:rsidRPr="0065616D">
        <w:rPr>
          <w:b/>
        </w:rPr>
        <w:t>– neregulovaný</w:t>
      </w:r>
      <w:r>
        <w:t xml:space="preserve"> trh, podmínky přijetí, přístupu a obchodování stanovuje pouze burza</w:t>
      </w:r>
    </w:p>
    <w:p w:rsidR="00FD5383" w:rsidRDefault="00FD5383" w:rsidP="00FD5383">
      <w:pPr>
        <w:pStyle w:val="Nadpis2"/>
      </w:pPr>
    </w:p>
    <w:p w:rsidR="00FD5383" w:rsidRDefault="00FD5383" w:rsidP="00FD5383">
      <w:pPr>
        <w:pStyle w:val="Nadpis2"/>
      </w:pPr>
      <w:r>
        <w:t>Burzovní akciové indexy</w:t>
      </w:r>
    </w:p>
    <w:p w:rsidR="00FD5383" w:rsidRDefault="009D6481" w:rsidP="005E52D2">
      <w:pPr>
        <w:spacing w:after="0"/>
      </w:pPr>
      <w:r>
        <w:t xml:space="preserve">Vývoj na burze se sleduje pomocí </w:t>
      </w:r>
      <w:r w:rsidRPr="00B72C8C">
        <w:rPr>
          <w:b/>
          <w:highlight w:val="yellow"/>
          <w:bdr w:val="single" w:sz="4" w:space="0" w:color="auto"/>
        </w:rPr>
        <w:t>indexu</w:t>
      </w:r>
      <w:r w:rsidRPr="00B72C8C">
        <w:rPr>
          <w:highlight w:val="yellow"/>
          <w:bdr w:val="single" w:sz="4" w:space="0" w:color="auto"/>
        </w:rPr>
        <w:t xml:space="preserve"> = denní průměr cen vybraných CP</w:t>
      </w:r>
    </w:p>
    <w:p w:rsidR="009D6481" w:rsidRDefault="009D6481" w:rsidP="005E52D2">
      <w:pPr>
        <w:spacing w:after="0"/>
      </w:pPr>
      <w:r w:rsidRPr="009D6481">
        <w:rPr>
          <w:b/>
        </w:rPr>
        <w:t>Index PX</w:t>
      </w:r>
      <w:r>
        <w:t xml:space="preserve"> – sleduje kurzy na pražské burze (např. ČEZ, Komerční banka, </w:t>
      </w:r>
      <w:proofErr w:type="spellStart"/>
      <w:r>
        <w:t>Erstegroup</w:t>
      </w:r>
      <w:proofErr w:type="spellEnd"/>
      <w:r>
        <w:t xml:space="preserve"> bank, </w:t>
      </w:r>
      <w:proofErr w:type="spellStart"/>
      <w:r>
        <w:t>Unipetrol</w:t>
      </w:r>
      <w:proofErr w:type="spellEnd"/>
      <w:r>
        <w:t>, ORCO, O2)</w:t>
      </w:r>
    </w:p>
    <w:p w:rsidR="009D6481" w:rsidRDefault="009D6481" w:rsidP="00FD5383">
      <w:r>
        <w:t xml:space="preserve">Světově </w:t>
      </w:r>
      <w:r w:rsidR="00D3585F">
        <w:t>nejznámější</w:t>
      </w:r>
      <w:r>
        <w:t xml:space="preserve">: </w:t>
      </w:r>
      <w:r w:rsidRPr="00D3585F">
        <w:rPr>
          <w:b/>
        </w:rPr>
        <w:t xml:space="preserve">Index </w:t>
      </w:r>
      <w:proofErr w:type="spellStart"/>
      <w:r w:rsidRPr="00D3585F">
        <w:rPr>
          <w:b/>
        </w:rPr>
        <w:t>Dow</w:t>
      </w:r>
      <w:proofErr w:type="spellEnd"/>
      <w:r w:rsidRPr="00D3585F">
        <w:rPr>
          <w:b/>
        </w:rPr>
        <w:t xml:space="preserve"> </w:t>
      </w:r>
      <w:proofErr w:type="spellStart"/>
      <w:r w:rsidRPr="00D3585F">
        <w:rPr>
          <w:b/>
        </w:rPr>
        <w:t>Jones</w:t>
      </w:r>
      <w:proofErr w:type="spellEnd"/>
      <w:r>
        <w:t xml:space="preserve"> (DJIA) </w:t>
      </w:r>
      <w:r w:rsidR="00D3585F">
        <w:t>– na burze v NY</w:t>
      </w:r>
    </w:p>
    <w:p w:rsidR="005E52D2" w:rsidRDefault="005E52D2" w:rsidP="005E52D2">
      <w:pPr>
        <w:spacing w:after="0"/>
        <w:rPr>
          <w:rStyle w:val="Nadpis2Char"/>
        </w:rPr>
      </w:pPr>
      <w:r w:rsidRPr="00B72C8C">
        <w:rPr>
          <w:rStyle w:val="Nadpis2Char"/>
        </w:rPr>
        <w:t>RM-systém</w:t>
      </w:r>
      <w:r w:rsidRPr="005E52D2">
        <w:rPr>
          <w:rStyle w:val="Nadpis2Char"/>
        </w:rPr>
        <w:t xml:space="preserve"> </w:t>
      </w:r>
    </w:p>
    <w:p w:rsidR="005E52D2" w:rsidRDefault="005E52D2" w:rsidP="005E52D2">
      <w:pPr>
        <w:spacing w:after="0"/>
      </w:pPr>
      <w:r>
        <w:rPr>
          <w:rStyle w:val="Nadpis2Char"/>
        </w:rPr>
        <w:t xml:space="preserve">= </w:t>
      </w:r>
      <w:r>
        <w:rPr>
          <w:rStyle w:val="Siln"/>
        </w:rPr>
        <w:t>česká burza cenných papírů</w:t>
      </w:r>
      <w:r w:rsidR="0071063A">
        <w:rPr>
          <w:rStyle w:val="Siln"/>
        </w:rPr>
        <w:t>,</w:t>
      </w:r>
      <w:r>
        <w:rPr>
          <w:rStyle w:val="Siln"/>
        </w:rPr>
        <w:t xml:space="preserve"> a.s.</w:t>
      </w:r>
    </w:p>
    <w:p w:rsidR="005E52D2" w:rsidRDefault="005E52D2" w:rsidP="005E52D2">
      <w:pPr>
        <w:pStyle w:val="Odstavecseseznamem"/>
        <w:numPr>
          <w:ilvl w:val="0"/>
          <w:numId w:val="11"/>
        </w:numPr>
      </w:pPr>
      <w:r>
        <w:t>od r. 1993</w:t>
      </w:r>
    </w:p>
    <w:p w:rsidR="005E52D2" w:rsidRDefault="005E52D2" w:rsidP="005E52D2">
      <w:pPr>
        <w:pStyle w:val="Odstavecseseznamem"/>
        <w:numPr>
          <w:ilvl w:val="0"/>
          <w:numId w:val="11"/>
        </w:numPr>
      </w:pPr>
      <w:r>
        <w:t xml:space="preserve">je trhem, kde se obchoduje s akciemi nejvýznamnějších českých, ale i zahraničních společností, jako je například ČEZ, </w:t>
      </w:r>
      <w:proofErr w:type="spellStart"/>
      <w:r>
        <w:t>Telefónica</w:t>
      </w:r>
      <w:proofErr w:type="spellEnd"/>
      <w:r>
        <w:t xml:space="preserve"> O2, </w:t>
      </w:r>
      <w:proofErr w:type="spellStart"/>
      <w:r>
        <w:t>Unipetrol</w:t>
      </w:r>
      <w:proofErr w:type="spellEnd"/>
      <w:r>
        <w:t xml:space="preserve">, </w:t>
      </w:r>
      <w:proofErr w:type="spellStart"/>
      <w:r>
        <w:t>Erste</w:t>
      </w:r>
      <w:proofErr w:type="spellEnd"/>
      <w:r>
        <w:t xml:space="preserve"> Bank nebo NWR</w:t>
      </w:r>
    </w:p>
    <w:p w:rsidR="005E52D2" w:rsidRDefault="0071063A" w:rsidP="005E52D2">
      <w:pPr>
        <w:pStyle w:val="Odstavecseseznamem"/>
        <w:numPr>
          <w:ilvl w:val="0"/>
          <w:numId w:val="11"/>
        </w:numPr>
      </w:pPr>
      <w:r>
        <w:t>o</w:t>
      </w:r>
      <w:r w:rsidR="005E52D2">
        <w:t xml:space="preserve">n-line se zde obchoduje také s akciemi, které se nevyskytují na pražské burze, jako jsou Vítkovice, </w:t>
      </w:r>
      <w:proofErr w:type="spellStart"/>
      <w:r w:rsidR="005E52D2">
        <w:t>ArcelorMittal</w:t>
      </w:r>
      <w:proofErr w:type="spellEnd"/>
      <w:r w:rsidR="005E52D2">
        <w:t xml:space="preserve"> Ostrava nebo Tatra</w:t>
      </w:r>
    </w:p>
    <w:p w:rsidR="00D3585F" w:rsidRDefault="005E52D2" w:rsidP="005E52D2">
      <w:pPr>
        <w:pStyle w:val="Odstavecseseznamem"/>
        <w:numPr>
          <w:ilvl w:val="0"/>
          <w:numId w:val="11"/>
        </w:numPr>
      </w:pPr>
      <w:r>
        <w:t>je zaměřená především na drobné a střední investory, kteří mají zájem o investování na kapitálovém trhu</w:t>
      </w:r>
    </w:p>
    <w:p w:rsidR="0071063A" w:rsidRDefault="005567CC" w:rsidP="005567CC">
      <w:pPr>
        <w:pStyle w:val="Nadpis2"/>
      </w:pPr>
      <w:r w:rsidRPr="005567CC">
        <w:rPr>
          <w:rFonts w:eastAsiaTheme="minorEastAsia"/>
        </w:rPr>
        <w:lastRenderedPageBreak/>
        <w:t>Centrální depozitář cenných papírů</w:t>
      </w:r>
      <w:r>
        <w:t xml:space="preserve"> (viz výše u BCPP)</w:t>
      </w:r>
    </w:p>
    <w:p w:rsidR="005567CC" w:rsidRDefault="005567CC" w:rsidP="005567CC">
      <w:r>
        <w:t>Vzniklo původně důsledkem kuponové privatizace v r. 1993 jako Středisko cenných papírů</w:t>
      </w:r>
    </w:p>
    <w:p w:rsidR="00410FD3" w:rsidRDefault="00B763E0" w:rsidP="00DB42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</w:pPr>
      <w:r w:rsidRPr="00B763E0">
        <w:rPr>
          <w:b/>
        </w:rPr>
        <w:t>PORTFOLIO</w:t>
      </w:r>
      <w:r w:rsidR="005567CC">
        <w:t xml:space="preserve">= </w:t>
      </w:r>
      <w:r w:rsidR="00DB42B2">
        <w:t>soubor</w:t>
      </w:r>
      <w:r w:rsidR="005567CC" w:rsidRPr="005567CC">
        <w:t xml:space="preserve"> různých typů cenných papírů kvůli minimalizaci rizika finanční ztráty</w:t>
      </w:r>
    </w:p>
    <w:p w:rsidR="00410FD3" w:rsidRPr="00410FD3" w:rsidRDefault="00410FD3" w:rsidP="00410FD3"/>
    <w:p w:rsidR="00410FD3" w:rsidRPr="00410FD3" w:rsidRDefault="00410FD3" w:rsidP="00410FD3"/>
    <w:p w:rsidR="00410FD3" w:rsidRPr="00410FD3" w:rsidRDefault="00410FD3" w:rsidP="00410FD3"/>
    <w:p w:rsidR="00410FD3" w:rsidRPr="00410FD3" w:rsidRDefault="00410FD3" w:rsidP="00410FD3"/>
    <w:p w:rsidR="00410FD3" w:rsidRPr="00410FD3" w:rsidRDefault="00410FD3" w:rsidP="00410FD3"/>
    <w:p w:rsidR="00410FD3" w:rsidRPr="00410FD3" w:rsidRDefault="00410FD3" w:rsidP="00410FD3"/>
    <w:p w:rsidR="00410FD3" w:rsidRPr="00410FD3" w:rsidRDefault="00410FD3" w:rsidP="00410FD3"/>
    <w:p w:rsidR="00410FD3" w:rsidRDefault="00410FD3" w:rsidP="00410FD3"/>
    <w:p w:rsidR="00410FD3" w:rsidRDefault="00410FD3" w:rsidP="00410FD3">
      <w:pPr>
        <w:rPr>
          <w:rFonts w:ascii="Calibri" w:hAnsi="Calibri"/>
          <w:i/>
        </w:rPr>
      </w:pPr>
      <w:r>
        <w:rPr>
          <w:rFonts w:ascii="Calibri" w:hAnsi="Calibri"/>
          <w:i/>
        </w:rPr>
        <w:t>Použité zdroje:</w:t>
      </w:r>
    </w:p>
    <w:p w:rsidR="00410FD3" w:rsidRDefault="00410FD3" w:rsidP="00410FD3">
      <w:pPr>
        <w:rPr>
          <w:i/>
        </w:rPr>
      </w:pPr>
      <w:r>
        <w:rPr>
          <w:i/>
        </w:rPr>
        <w:t xml:space="preserve">KRÁLOVÁ, Irena. </w:t>
      </w:r>
      <w:r>
        <w:rPr>
          <w:i/>
          <w:iCs/>
        </w:rPr>
        <w:t>Makroekonomie a hospodářská politika státu: pro střední a vyšší hotelové školy</w:t>
      </w:r>
      <w:r>
        <w:rPr>
          <w:i/>
        </w:rPr>
        <w:t xml:space="preserve">. 1. </w:t>
      </w:r>
      <w:proofErr w:type="spellStart"/>
      <w:r>
        <w:rPr>
          <w:i/>
        </w:rPr>
        <w:t>vyd</w:t>
      </w:r>
      <w:proofErr w:type="spellEnd"/>
      <w:r>
        <w:rPr>
          <w:i/>
        </w:rPr>
        <w:t>. Praha: Fortuna, 2010, 175 s. ISBN 978-80-7373-062-8.</w:t>
      </w:r>
    </w:p>
    <w:p w:rsidR="00410FD3" w:rsidRDefault="00410FD3" w:rsidP="00410FD3">
      <w:pPr>
        <w:rPr>
          <w:i/>
        </w:rPr>
      </w:pPr>
    </w:p>
    <w:p w:rsidR="00410FD3" w:rsidRDefault="00410FD3" w:rsidP="00410FD3">
      <w:pPr>
        <w:rPr>
          <w:rFonts w:ascii="Times New Roman" w:hAnsi="Times New Roman"/>
          <w:i/>
        </w:rPr>
      </w:pPr>
    </w:p>
    <w:p w:rsidR="0071063A" w:rsidRPr="00410FD3" w:rsidRDefault="0071063A" w:rsidP="00410FD3">
      <w:pPr>
        <w:ind w:firstLine="708"/>
      </w:pPr>
    </w:p>
    <w:sectPr w:rsidR="0071063A" w:rsidRPr="00410FD3" w:rsidSect="00E64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8BD" w:rsidRDefault="00CC48BD" w:rsidP="000E7B74">
      <w:pPr>
        <w:spacing w:after="0" w:line="240" w:lineRule="auto"/>
      </w:pPr>
      <w:r>
        <w:separator/>
      </w:r>
    </w:p>
  </w:endnote>
  <w:endnote w:type="continuationSeparator" w:id="0">
    <w:p w:rsidR="00CC48BD" w:rsidRDefault="00CC48BD" w:rsidP="000E7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8BD" w:rsidRDefault="00CC48BD" w:rsidP="000E7B74">
      <w:pPr>
        <w:spacing w:after="0" w:line="240" w:lineRule="auto"/>
      </w:pPr>
      <w:r>
        <w:separator/>
      </w:r>
    </w:p>
  </w:footnote>
  <w:footnote w:type="continuationSeparator" w:id="0">
    <w:p w:rsidR="00CC48BD" w:rsidRDefault="00CC48BD" w:rsidP="000E7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277A"/>
    <w:multiLevelType w:val="hybridMultilevel"/>
    <w:tmpl w:val="4D8A13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16979"/>
    <w:multiLevelType w:val="hybridMultilevel"/>
    <w:tmpl w:val="160C11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E37A05"/>
    <w:multiLevelType w:val="hybridMultilevel"/>
    <w:tmpl w:val="CE3C59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A365CE"/>
    <w:multiLevelType w:val="hybridMultilevel"/>
    <w:tmpl w:val="972CECC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C24FAC"/>
    <w:multiLevelType w:val="hybridMultilevel"/>
    <w:tmpl w:val="67AA53D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B739DE"/>
    <w:multiLevelType w:val="hybridMultilevel"/>
    <w:tmpl w:val="1F14A24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F034F9D"/>
    <w:multiLevelType w:val="hybridMultilevel"/>
    <w:tmpl w:val="F5C2B860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760636"/>
    <w:multiLevelType w:val="hybridMultilevel"/>
    <w:tmpl w:val="4606CF8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B320A9"/>
    <w:multiLevelType w:val="hybridMultilevel"/>
    <w:tmpl w:val="60ECDD0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32653C"/>
    <w:multiLevelType w:val="hybridMultilevel"/>
    <w:tmpl w:val="0948741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7549D9"/>
    <w:multiLevelType w:val="hybridMultilevel"/>
    <w:tmpl w:val="0596C6D0"/>
    <w:lvl w:ilvl="0" w:tplc="233ADD5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55D8F"/>
    <w:rsid w:val="00055D8F"/>
    <w:rsid w:val="000E7B74"/>
    <w:rsid w:val="00104C83"/>
    <w:rsid w:val="002368BA"/>
    <w:rsid w:val="00255612"/>
    <w:rsid w:val="00286162"/>
    <w:rsid w:val="003C3443"/>
    <w:rsid w:val="003E0840"/>
    <w:rsid w:val="003E46BD"/>
    <w:rsid w:val="003F0176"/>
    <w:rsid w:val="00410FD3"/>
    <w:rsid w:val="004272D1"/>
    <w:rsid w:val="00460D5D"/>
    <w:rsid w:val="005567CC"/>
    <w:rsid w:val="005E126B"/>
    <w:rsid w:val="005E52D2"/>
    <w:rsid w:val="005F0EA8"/>
    <w:rsid w:val="0065616D"/>
    <w:rsid w:val="007005E1"/>
    <w:rsid w:val="00703218"/>
    <w:rsid w:val="0071063A"/>
    <w:rsid w:val="00763D9A"/>
    <w:rsid w:val="008708CA"/>
    <w:rsid w:val="009345B3"/>
    <w:rsid w:val="0093758C"/>
    <w:rsid w:val="00945216"/>
    <w:rsid w:val="00946A15"/>
    <w:rsid w:val="009B4990"/>
    <w:rsid w:val="009D6481"/>
    <w:rsid w:val="00A23276"/>
    <w:rsid w:val="00A37D81"/>
    <w:rsid w:val="00AA1B53"/>
    <w:rsid w:val="00AB61F1"/>
    <w:rsid w:val="00AF4381"/>
    <w:rsid w:val="00B169AC"/>
    <w:rsid w:val="00B616BF"/>
    <w:rsid w:val="00B72C8C"/>
    <w:rsid w:val="00B763E0"/>
    <w:rsid w:val="00C273DD"/>
    <w:rsid w:val="00CA5D09"/>
    <w:rsid w:val="00CC48BD"/>
    <w:rsid w:val="00CC4B2A"/>
    <w:rsid w:val="00D31CB0"/>
    <w:rsid w:val="00D3585F"/>
    <w:rsid w:val="00DB42B2"/>
    <w:rsid w:val="00E20FAD"/>
    <w:rsid w:val="00E64EC1"/>
    <w:rsid w:val="00F90EC4"/>
    <w:rsid w:val="00FC5C17"/>
    <w:rsid w:val="00FD5383"/>
    <w:rsid w:val="00FE10CD"/>
    <w:rsid w:val="00FE4F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EC1"/>
  </w:style>
  <w:style w:type="paragraph" w:styleId="Nadpis1">
    <w:name w:val="heading 1"/>
    <w:basedOn w:val="Normln"/>
    <w:link w:val="Nadpis1Char"/>
    <w:uiPriority w:val="9"/>
    <w:qFormat/>
    <w:rsid w:val="003E46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452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3E46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005E1"/>
    <w:pPr>
      <w:ind w:left="720"/>
      <w:contextualSpacing/>
    </w:pPr>
  </w:style>
  <w:style w:type="paragraph" w:styleId="Nzev">
    <w:name w:val="Title"/>
    <w:basedOn w:val="Normln"/>
    <w:next w:val="Normln"/>
    <w:link w:val="NzevChar"/>
    <w:uiPriority w:val="10"/>
    <w:qFormat/>
    <w:rsid w:val="007005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005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textovodkaz">
    <w:name w:val="Hyperlink"/>
    <w:basedOn w:val="Standardnpsmoodstavce"/>
    <w:uiPriority w:val="99"/>
    <w:unhideWhenUsed/>
    <w:rsid w:val="00AB61F1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3E46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dpis3Char">
    <w:name w:val="Nadpis 3 Char"/>
    <w:basedOn w:val="Standardnpsmoodstavce"/>
    <w:link w:val="Nadpis3"/>
    <w:uiPriority w:val="9"/>
    <w:rsid w:val="003E46B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E4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46BD"/>
    <w:rPr>
      <w:rFonts w:ascii="Tahoma" w:hAnsi="Tahoma" w:cs="Tahoma"/>
      <w:sz w:val="16"/>
      <w:szCs w:val="1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708CA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8708CA"/>
    <w:rPr>
      <w:color w:val="5A5A5A" w:themeColor="text1" w:themeTint="A5"/>
      <w:spacing w:val="15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8708C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8708CA"/>
    <w:rPr>
      <w:i/>
      <w:iCs/>
      <w:color w:val="4F81BD" w:themeColor="accent1"/>
    </w:rPr>
  </w:style>
  <w:style w:type="paragraph" w:styleId="Normlnweb">
    <w:name w:val="Normal (Web)"/>
    <w:basedOn w:val="Normln"/>
    <w:uiPriority w:val="99"/>
    <w:semiHidden/>
    <w:unhideWhenUsed/>
    <w:rsid w:val="00104C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E7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E7B74"/>
  </w:style>
  <w:style w:type="paragraph" w:styleId="Zpat">
    <w:name w:val="footer"/>
    <w:basedOn w:val="Normln"/>
    <w:link w:val="ZpatChar"/>
    <w:uiPriority w:val="99"/>
    <w:unhideWhenUsed/>
    <w:rsid w:val="000E7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E7B74"/>
  </w:style>
  <w:style w:type="character" w:customStyle="1" w:styleId="Nadpis2Char">
    <w:name w:val="Nadpis 2 Char"/>
    <w:basedOn w:val="Standardnpsmoodstavce"/>
    <w:link w:val="Nadpis2"/>
    <w:uiPriority w:val="9"/>
    <w:rsid w:val="0094521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Siln">
    <w:name w:val="Strong"/>
    <w:basedOn w:val="Standardnpsmoodstavce"/>
    <w:uiPriority w:val="22"/>
    <w:qFormat/>
    <w:rsid w:val="005E52D2"/>
    <w:rPr>
      <w:b/>
      <w:bCs/>
    </w:rPr>
  </w:style>
  <w:style w:type="paragraph" w:styleId="Titulek">
    <w:name w:val="caption"/>
    <w:basedOn w:val="Normln"/>
    <w:next w:val="Normln"/>
    <w:uiPriority w:val="35"/>
    <w:unhideWhenUsed/>
    <w:qFormat/>
    <w:rsid w:val="0025561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duraz">
    <w:name w:val="duraz"/>
    <w:basedOn w:val="Standardnpsmoodstavce"/>
    <w:rsid w:val="00255612"/>
  </w:style>
  <w:style w:type="table" w:styleId="Mkatabulky">
    <w:name w:val="Table Grid"/>
    <w:basedOn w:val="Normlntabulka"/>
    <w:uiPriority w:val="59"/>
    <w:rsid w:val="00AA1B53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cpp.cz/dokument.aspx?k=Profil-Burzy-Struktura" TargetMode="Externa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hyperlink" Target="http://www.bcpp.cz/dokument.aspx?k=Profil-Burzy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ese.eu/" TargetMode="External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B8DA98D-F045-4C69-AD78-B4FEA41CBCEF}" type="doc">
      <dgm:prSet loTypeId="urn:microsoft.com/office/officeart/2005/8/layout/hierarchy1" loCatId="hierarchy" qsTypeId="urn:microsoft.com/office/officeart/2005/8/quickstyle/3d6" qsCatId="3D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89C3F353-F102-4601-808A-8F21E665DA6D}">
      <dgm:prSet phldrT="[Text]"/>
      <dgm:spPr/>
      <dgm:t>
        <a:bodyPr/>
        <a:lstStyle/>
        <a:p>
          <a:r>
            <a:rPr lang="cs-CZ"/>
            <a:t>burzovní trhy</a:t>
          </a:r>
        </a:p>
      </dgm:t>
    </dgm:pt>
    <dgm:pt modelId="{13601920-35E6-41D1-B5CC-B30EC4A104E0}" type="parTrans" cxnId="{AE7455F5-76E0-48AA-9F08-5B36904AA789}">
      <dgm:prSet/>
      <dgm:spPr/>
      <dgm:t>
        <a:bodyPr/>
        <a:lstStyle/>
        <a:p>
          <a:endParaRPr lang="cs-CZ"/>
        </a:p>
      </dgm:t>
    </dgm:pt>
    <dgm:pt modelId="{4B20DC15-6708-4089-AD04-5DACE1600BB4}" type="sibTrans" cxnId="{AE7455F5-76E0-48AA-9F08-5B36904AA789}">
      <dgm:prSet/>
      <dgm:spPr/>
      <dgm:t>
        <a:bodyPr/>
        <a:lstStyle/>
        <a:p>
          <a:endParaRPr lang="cs-CZ"/>
        </a:p>
      </dgm:t>
    </dgm:pt>
    <dgm:pt modelId="{5B601F71-06E7-4FA9-ACF9-54B8B07189E8}" type="asst">
      <dgm:prSet phldrT="[Text]"/>
      <dgm:spPr/>
      <dgm:t>
        <a:bodyPr/>
        <a:lstStyle/>
        <a:p>
          <a:r>
            <a:rPr lang="cs-CZ"/>
            <a:t>regulovaný trh</a:t>
          </a:r>
        </a:p>
      </dgm:t>
    </dgm:pt>
    <dgm:pt modelId="{D78EE63C-C7D6-4CCB-ABCF-E6B1FD36FA72}" type="parTrans" cxnId="{E9199EF7-72D6-45C6-9E5C-D63E9AD3CB60}">
      <dgm:prSet/>
      <dgm:spPr/>
      <dgm:t>
        <a:bodyPr/>
        <a:lstStyle/>
        <a:p>
          <a:endParaRPr lang="cs-CZ"/>
        </a:p>
      </dgm:t>
    </dgm:pt>
    <dgm:pt modelId="{F86F1765-7F37-475F-9F61-B81647C8E9C2}" type="sibTrans" cxnId="{E9199EF7-72D6-45C6-9E5C-D63E9AD3CB60}">
      <dgm:prSet/>
      <dgm:spPr/>
      <dgm:t>
        <a:bodyPr/>
        <a:lstStyle/>
        <a:p>
          <a:endParaRPr lang="cs-CZ"/>
        </a:p>
      </dgm:t>
    </dgm:pt>
    <dgm:pt modelId="{932C9C1F-646D-4F9F-A7FB-37E430CC3D49}" type="asst">
      <dgm:prSet phldrT="[Text]"/>
      <dgm:spPr/>
      <dgm:t>
        <a:bodyPr/>
        <a:lstStyle/>
        <a:p>
          <a:r>
            <a:rPr lang="cs-CZ"/>
            <a:t>neregulovaný trh</a:t>
          </a:r>
        </a:p>
      </dgm:t>
    </dgm:pt>
    <dgm:pt modelId="{990E4763-4210-4A7A-ACC5-DDF57C5EEEE6}" type="parTrans" cxnId="{151D2AC5-C7DB-42C6-8DAC-E850CDBADD1E}">
      <dgm:prSet/>
      <dgm:spPr/>
      <dgm:t>
        <a:bodyPr/>
        <a:lstStyle/>
        <a:p>
          <a:endParaRPr lang="cs-CZ"/>
        </a:p>
      </dgm:t>
    </dgm:pt>
    <dgm:pt modelId="{594DF25E-AAAE-4991-8256-F71C34E85357}" type="sibTrans" cxnId="{151D2AC5-C7DB-42C6-8DAC-E850CDBADD1E}">
      <dgm:prSet/>
      <dgm:spPr/>
      <dgm:t>
        <a:bodyPr/>
        <a:lstStyle/>
        <a:p>
          <a:endParaRPr lang="cs-CZ"/>
        </a:p>
      </dgm:t>
    </dgm:pt>
    <dgm:pt modelId="{8FF05ECE-98B4-4700-96A3-C4834D2D39CB}" type="asst">
      <dgm:prSet phldrT="[Text]"/>
      <dgm:spPr/>
      <dgm:t>
        <a:bodyPr/>
        <a:lstStyle/>
        <a:p>
          <a:r>
            <a:rPr lang="cs-CZ"/>
            <a:t>hlavní trh</a:t>
          </a:r>
        </a:p>
      </dgm:t>
    </dgm:pt>
    <dgm:pt modelId="{895F213F-15BF-4A71-AF89-165B897C0EE7}" type="parTrans" cxnId="{AA324634-DF2C-4CAB-9A72-19E81D122C3C}">
      <dgm:prSet/>
      <dgm:spPr/>
      <dgm:t>
        <a:bodyPr/>
        <a:lstStyle/>
        <a:p>
          <a:endParaRPr lang="cs-CZ"/>
        </a:p>
      </dgm:t>
    </dgm:pt>
    <dgm:pt modelId="{C1991BEF-632D-4DC1-A4EE-C544E5DA7123}" type="sibTrans" cxnId="{AA324634-DF2C-4CAB-9A72-19E81D122C3C}">
      <dgm:prSet/>
      <dgm:spPr/>
      <dgm:t>
        <a:bodyPr/>
        <a:lstStyle/>
        <a:p>
          <a:endParaRPr lang="cs-CZ"/>
        </a:p>
      </dgm:t>
    </dgm:pt>
    <dgm:pt modelId="{1791D491-A30A-4328-899B-68E6695DDE0E}" type="asst">
      <dgm:prSet phldrT="[Text]"/>
      <dgm:spPr/>
      <dgm:t>
        <a:bodyPr/>
        <a:lstStyle/>
        <a:p>
          <a:r>
            <a:rPr lang="cs-CZ"/>
            <a:t>volný trh</a:t>
          </a:r>
        </a:p>
      </dgm:t>
    </dgm:pt>
    <dgm:pt modelId="{F66E5EDD-B88F-4A09-80F4-1BF519CEAD49}" type="parTrans" cxnId="{00537F9B-72D3-4E5E-84E1-6C5D81713C76}">
      <dgm:prSet/>
      <dgm:spPr/>
      <dgm:t>
        <a:bodyPr/>
        <a:lstStyle/>
        <a:p>
          <a:endParaRPr lang="cs-CZ"/>
        </a:p>
      </dgm:t>
    </dgm:pt>
    <dgm:pt modelId="{E9DD2252-09A2-407C-B388-BB4135136879}" type="sibTrans" cxnId="{00537F9B-72D3-4E5E-84E1-6C5D81713C76}">
      <dgm:prSet/>
      <dgm:spPr/>
      <dgm:t>
        <a:bodyPr/>
        <a:lstStyle/>
        <a:p>
          <a:endParaRPr lang="cs-CZ"/>
        </a:p>
      </dgm:t>
    </dgm:pt>
    <dgm:pt modelId="{C76EDB27-B348-4F09-8F54-BDC0F609C251}" type="asst">
      <dgm:prSet phldrT="[Text]"/>
      <dgm:spPr/>
      <dgm:t>
        <a:bodyPr/>
        <a:lstStyle/>
        <a:p>
          <a:r>
            <a:rPr lang="cs-CZ"/>
            <a:t>trh MTF</a:t>
          </a:r>
        </a:p>
      </dgm:t>
    </dgm:pt>
    <dgm:pt modelId="{4A04E03D-8905-4C32-BC45-313ACBD8B6F9}" type="parTrans" cxnId="{F53B6F67-1345-4C8C-AC20-4C23905D7113}">
      <dgm:prSet/>
      <dgm:spPr/>
      <dgm:t>
        <a:bodyPr/>
        <a:lstStyle/>
        <a:p>
          <a:endParaRPr lang="cs-CZ"/>
        </a:p>
      </dgm:t>
    </dgm:pt>
    <dgm:pt modelId="{895F31F5-9F3F-448D-AF64-E20CE3CDFF06}" type="sibTrans" cxnId="{F53B6F67-1345-4C8C-AC20-4C23905D7113}">
      <dgm:prSet/>
      <dgm:spPr/>
      <dgm:t>
        <a:bodyPr/>
        <a:lstStyle/>
        <a:p>
          <a:endParaRPr lang="cs-CZ"/>
        </a:p>
      </dgm:t>
    </dgm:pt>
    <dgm:pt modelId="{4FEA8ACB-8667-4907-898D-20CE201407F6}" type="pres">
      <dgm:prSet presAssocID="{3B8DA98D-F045-4C69-AD78-B4FEA41CBCEF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2918A455-D4B0-4C2A-84A9-0105957739FB}" type="pres">
      <dgm:prSet presAssocID="{89C3F353-F102-4601-808A-8F21E665DA6D}" presName="hierRoot1" presStyleCnt="0"/>
      <dgm:spPr/>
    </dgm:pt>
    <dgm:pt modelId="{116447D5-D433-482E-A88B-3C3C0B60DD84}" type="pres">
      <dgm:prSet presAssocID="{89C3F353-F102-4601-808A-8F21E665DA6D}" presName="composite" presStyleCnt="0"/>
      <dgm:spPr/>
    </dgm:pt>
    <dgm:pt modelId="{9DF15F3F-7B4D-4107-9D9D-7CA4E0061793}" type="pres">
      <dgm:prSet presAssocID="{89C3F353-F102-4601-808A-8F21E665DA6D}" presName="background" presStyleLbl="node0" presStyleIdx="0" presStyleCnt="1"/>
      <dgm:spPr/>
    </dgm:pt>
    <dgm:pt modelId="{932B7A4F-F734-4BD0-8C67-D66728C8B5A3}" type="pres">
      <dgm:prSet presAssocID="{89C3F353-F102-4601-808A-8F21E665DA6D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1F85961-115C-4C5B-A240-23A6936DC315}" type="pres">
      <dgm:prSet presAssocID="{89C3F353-F102-4601-808A-8F21E665DA6D}" presName="hierChild2" presStyleCnt="0"/>
      <dgm:spPr/>
    </dgm:pt>
    <dgm:pt modelId="{81438CDE-5187-4FA0-8BE9-8111DBFFC5AF}" type="pres">
      <dgm:prSet presAssocID="{D78EE63C-C7D6-4CCB-ABCF-E6B1FD36FA72}" presName="Name10" presStyleLbl="parChTrans1D2" presStyleIdx="0" presStyleCnt="2"/>
      <dgm:spPr/>
      <dgm:t>
        <a:bodyPr/>
        <a:lstStyle/>
        <a:p>
          <a:endParaRPr lang="cs-CZ"/>
        </a:p>
      </dgm:t>
    </dgm:pt>
    <dgm:pt modelId="{E3CD6FB7-FDC2-45E9-BE2F-9740C44CABE8}" type="pres">
      <dgm:prSet presAssocID="{5B601F71-06E7-4FA9-ACF9-54B8B07189E8}" presName="hierRoot2" presStyleCnt="0"/>
      <dgm:spPr/>
    </dgm:pt>
    <dgm:pt modelId="{2ED66AF3-A04C-44C1-A51B-F726E5BF6194}" type="pres">
      <dgm:prSet presAssocID="{5B601F71-06E7-4FA9-ACF9-54B8B07189E8}" presName="composite2" presStyleCnt="0"/>
      <dgm:spPr/>
    </dgm:pt>
    <dgm:pt modelId="{C096C2D7-2540-43A5-A228-6824ED32336F}" type="pres">
      <dgm:prSet presAssocID="{5B601F71-06E7-4FA9-ACF9-54B8B07189E8}" presName="background2" presStyleLbl="asst1" presStyleIdx="0" presStyleCnt="5"/>
      <dgm:spPr/>
    </dgm:pt>
    <dgm:pt modelId="{D0670C0C-BFB7-4FD6-89DB-D3B5CC63B559}" type="pres">
      <dgm:prSet presAssocID="{5B601F71-06E7-4FA9-ACF9-54B8B07189E8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D3B1986-7626-45E5-B644-50131241A608}" type="pres">
      <dgm:prSet presAssocID="{5B601F71-06E7-4FA9-ACF9-54B8B07189E8}" presName="hierChild3" presStyleCnt="0"/>
      <dgm:spPr/>
    </dgm:pt>
    <dgm:pt modelId="{6781B61A-25F1-425C-8495-5FB34112FE56}" type="pres">
      <dgm:prSet presAssocID="{895F213F-15BF-4A71-AF89-165B897C0EE7}" presName="Name17" presStyleLbl="parChTrans1D3" presStyleIdx="0" presStyleCnt="3"/>
      <dgm:spPr/>
      <dgm:t>
        <a:bodyPr/>
        <a:lstStyle/>
        <a:p>
          <a:endParaRPr lang="cs-CZ"/>
        </a:p>
      </dgm:t>
    </dgm:pt>
    <dgm:pt modelId="{BBA052A6-8775-46F5-BACA-D863D5F397FA}" type="pres">
      <dgm:prSet presAssocID="{8FF05ECE-98B4-4700-96A3-C4834D2D39CB}" presName="hierRoot3" presStyleCnt="0"/>
      <dgm:spPr/>
    </dgm:pt>
    <dgm:pt modelId="{B2CEAAE7-A19F-4E92-9A28-F0FA0989B239}" type="pres">
      <dgm:prSet presAssocID="{8FF05ECE-98B4-4700-96A3-C4834D2D39CB}" presName="composite3" presStyleCnt="0"/>
      <dgm:spPr/>
    </dgm:pt>
    <dgm:pt modelId="{BE3138B0-766F-49CD-9F5C-EA30FBE7E5A3}" type="pres">
      <dgm:prSet presAssocID="{8FF05ECE-98B4-4700-96A3-C4834D2D39CB}" presName="background3" presStyleLbl="asst1" presStyleIdx="1" presStyleCnt="5"/>
      <dgm:spPr/>
    </dgm:pt>
    <dgm:pt modelId="{AD4E87E3-DD0D-4A69-8D5B-88BE3F39C09E}" type="pres">
      <dgm:prSet presAssocID="{8FF05ECE-98B4-4700-96A3-C4834D2D39CB}" presName="text3" presStyleLbl="fgAcc3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0A77273-DE1E-4B5E-B962-D74AF4680156}" type="pres">
      <dgm:prSet presAssocID="{8FF05ECE-98B4-4700-96A3-C4834D2D39CB}" presName="hierChild4" presStyleCnt="0"/>
      <dgm:spPr/>
    </dgm:pt>
    <dgm:pt modelId="{8E890FC5-9739-49C1-8D6F-D3A6273C6458}" type="pres">
      <dgm:prSet presAssocID="{F66E5EDD-B88F-4A09-80F4-1BF519CEAD49}" presName="Name17" presStyleLbl="parChTrans1D3" presStyleIdx="1" presStyleCnt="3"/>
      <dgm:spPr/>
      <dgm:t>
        <a:bodyPr/>
        <a:lstStyle/>
        <a:p>
          <a:endParaRPr lang="cs-CZ"/>
        </a:p>
      </dgm:t>
    </dgm:pt>
    <dgm:pt modelId="{E8D1A2C3-6AB9-4A5D-8008-760D0A4FC30C}" type="pres">
      <dgm:prSet presAssocID="{1791D491-A30A-4328-899B-68E6695DDE0E}" presName="hierRoot3" presStyleCnt="0"/>
      <dgm:spPr/>
    </dgm:pt>
    <dgm:pt modelId="{894B6680-CB0C-4D1A-BDE8-55A120102B97}" type="pres">
      <dgm:prSet presAssocID="{1791D491-A30A-4328-899B-68E6695DDE0E}" presName="composite3" presStyleCnt="0"/>
      <dgm:spPr/>
    </dgm:pt>
    <dgm:pt modelId="{5E0AEE0E-99B0-4F19-8170-22569937A0A3}" type="pres">
      <dgm:prSet presAssocID="{1791D491-A30A-4328-899B-68E6695DDE0E}" presName="background3" presStyleLbl="asst1" presStyleIdx="2" presStyleCnt="5"/>
      <dgm:spPr/>
    </dgm:pt>
    <dgm:pt modelId="{38ADC0A9-868E-46C9-8A15-AB379610DCE9}" type="pres">
      <dgm:prSet presAssocID="{1791D491-A30A-4328-899B-68E6695DDE0E}" presName="text3" presStyleLbl="fgAcc3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DA45C54-D373-4EB3-A640-6988BB117F94}" type="pres">
      <dgm:prSet presAssocID="{1791D491-A30A-4328-899B-68E6695DDE0E}" presName="hierChild4" presStyleCnt="0"/>
      <dgm:spPr/>
    </dgm:pt>
    <dgm:pt modelId="{3585E850-AEA8-4272-B1BA-8C31454661DF}" type="pres">
      <dgm:prSet presAssocID="{990E4763-4210-4A7A-ACC5-DDF57C5EEEE6}" presName="Name10" presStyleLbl="parChTrans1D2" presStyleIdx="1" presStyleCnt="2"/>
      <dgm:spPr/>
      <dgm:t>
        <a:bodyPr/>
        <a:lstStyle/>
        <a:p>
          <a:endParaRPr lang="cs-CZ"/>
        </a:p>
      </dgm:t>
    </dgm:pt>
    <dgm:pt modelId="{F64F3B50-E47B-459A-A8CC-B9BBEA734C52}" type="pres">
      <dgm:prSet presAssocID="{932C9C1F-646D-4F9F-A7FB-37E430CC3D49}" presName="hierRoot2" presStyleCnt="0"/>
      <dgm:spPr/>
    </dgm:pt>
    <dgm:pt modelId="{D0ADA6B6-B5E7-48C6-BB95-2BEC1D6A582D}" type="pres">
      <dgm:prSet presAssocID="{932C9C1F-646D-4F9F-A7FB-37E430CC3D49}" presName="composite2" presStyleCnt="0"/>
      <dgm:spPr/>
    </dgm:pt>
    <dgm:pt modelId="{D0A83A35-36FE-45DC-BAEE-C7D52444DFD7}" type="pres">
      <dgm:prSet presAssocID="{932C9C1F-646D-4F9F-A7FB-37E430CC3D49}" presName="background2" presStyleLbl="asst1" presStyleIdx="3" presStyleCnt="5"/>
      <dgm:spPr/>
    </dgm:pt>
    <dgm:pt modelId="{D4EFA7F4-A063-44EA-9DA5-71E26C894A77}" type="pres">
      <dgm:prSet presAssocID="{932C9C1F-646D-4F9F-A7FB-37E430CC3D49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103DB82-41D4-4497-AEB3-E8696EB27178}" type="pres">
      <dgm:prSet presAssocID="{932C9C1F-646D-4F9F-A7FB-37E430CC3D49}" presName="hierChild3" presStyleCnt="0"/>
      <dgm:spPr/>
    </dgm:pt>
    <dgm:pt modelId="{64A5464F-8106-45BB-80F3-F3DD0008AAB5}" type="pres">
      <dgm:prSet presAssocID="{4A04E03D-8905-4C32-BC45-313ACBD8B6F9}" presName="Name17" presStyleLbl="parChTrans1D3" presStyleIdx="2" presStyleCnt="3"/>
      <dgm:spPr/>
      <dgm:t>
        <a:bodyPr/>
        <a:lstStyle/>
        <a:p>
          <a:endParaRPr lang="cs-CZ"/>
        </a:p>
      </dgm:t>
    </dgm:pt>
    <dgm:pt modelId="{073882BF-1A6A-45A0-B833-6744A432CAF7}" type="pres">
      <dgm:prSet presAssocID="{C76EDB27-B348-4F09-8F54-BDC0F609C251}" presName="hierRoot3" presStyleCnt="0"/>
      <dgm:spPr/>
    </dgm:pt>
    <dgm:pt modelId="{07BAE5AA-05BD-40BF-861C-9F59B96EDEAB}" type="pres">
      <dgm:prSet presAssocID="{C76EDB27-B348-4F09-8F54-BDC0F609C251}" presName="composite3" presStyleCnt="0"/>
      <dgm:spPr/>
    </dgm:pt>
    <dgm:pt modelId="{A8EE79B8-7589-45BF-A3A5-DE193A384A04}" type="pres">
      <dgm:prSet presAssocID="{C76EDB27-B348-4F09-8F54-BDC0F609C251}" presName="background3" presStyleLbl="asst1" presStyleIdx="4" presStyleCnt="5"/>
      <dgm:spPr/>
    </dgm:pt>
    <dgm:pt modelId="{46B3C7E8-F753-4FD3-8CD8-6AD54EC7A094}" type="pres">
      <dgm:prSet presAssocID="{C76EDB27-B348-4F09-8F54-BDC0F609C251}" presName="text3" presStyleLbl="fgAcc3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115E506-5A15-4AF8-A269-FE38AA51BCA4}" type="pres">
      <dgm:prSet presAssocID="{C76EDB27-B348-4F09-8F54-BDC0F609C251}" presName="hierChild4" presStyleCnt="0"/>
      <dgm:spPr/>
    </dgm:pt>
  </dgm:ptLst>
  <dgm:cxnLst>
    <dgm:cxn modelId="{AE8571DF-97E3-4146-B578-BBB842AC594B}" type="presOf" srcId="{3B8DA98D-F045-4C69-AD78-B4FEA41CBCEF}" destId="{4FEA8ACB-8667-4907-898D-20CE201407F6}" srcOrd="0" destOrd="0" presId="urn:microsoft.com/office/officeart/2005/8/layout/hierarchy1"/>
    <dgm:cxn modelId="{B4AE373B-62AF-4D96-8388-88FF5B7F850B}" type="presOf" srcId="{895F213F-15BF-4A71-AF89-165B897C0EE7}" destId="{6781B61A-25F1-425C-8495-5FB34112FE56}" srcOrd="0" destOrd="0" presId="urn:microsoft.com/office/officeart/2005/8/layout/hierarchy1"/>
    <dgm:cxn modelId="{6800F731-82D4-413B-B144-9498F7B5620C}" type="presOf" srcId="{8FF05ECE-98B4-4700-96A3-C4834D2D39CB}" destId="{AD4E87E3-DD0D-4A69-8D5B-88BE3F39C09E}" srcOrd="0" destOrd="0" presId="urn:microsoft.com/office/officeart/2005/8/layout/hierarchy1"/>
    <dgm:cxn modelId="{765A91AE-26F8-4EF5-81BD-1A331AAB69B3}" type="presOf" srcId="{89C3F353-F102-4601-808A-8F21E665DA6D}" destId="{932B7A4F-F734-4BD0-8C67-D66728C8B5A3}" srcOrd="0" destOrd="0" presId="urn:microsoft.com/office/officeart/2005/8/layout/hierarchy1"/>
    <dgm:cxn modelId="{440E43FF-4247-44DA-A0CF-B49DD4DA05E4}" type="presOf" srcId="{932C9C1F-646D-4F9F-A7FB-37E430CC3D49}" destId="{D4EFA7F4-A063-44EA-9DA5-71E26C894A77}" srcOrd="0" destOrd="0" presId="urn:microsoft.com/office/officeart/2005/8/layout/hierarchy1"/>
    <dgm:cxn modelId="{D9998E09-406A-4E8D-B2AA-F62C66709AF0}" type="presOf" srcId="{1791D491-A30A-4328-899B-68E6695DDE0E}" destId="{38ADC0A9-868E-46C9-8A15-AB379610DCE9}" srcOrd="0" destOrd="0" presId="urn:microsoft.com/office/officeart/2005/8/layout/hierarchy1"/>
    <dgm:cxn modelId="{00537F9B-72D3-4E5E-84E1-6C5D81713C76}" srcId="{5B601F71-06E7-4FA9-ACF9-54B8B07189E8}" destId="{1791D491-A30A-4328-899B-68E6695DDE0E}" srcOrd="1" destOrd="0" parTransId="{F66E5EDD-B88F-4A09-80F4-1BF519CEAD49}" sibTransId="{E9DD2252-09A2-407C-B388-BB4135136879}"/>
    <dgm:cxn modelId="{AA324634-DF2C-4CAB-9A72-19E81D122C3C}" srcId="{5B601F71-06E7-4FA9-ACF9-54B8B07189E8}" destId="{8FF05ECE-98B4-4700-96A3-C4834D2D39CB}" srcOrd="0" destOrd="0" parTransId="{895F213F-15BF-4A71-AF89-165B897C0EE7}" sibTransId="{C1991BEF-632D-4DC1-A4EE-C544E5DA7123}"/>
    <dgm:cxn modelId="{E9199EF7-72D6-45C6-9E5C-D63E9AD3CB60}" srcId="{89C3F353-F102-4601-808A-8F21E665DA6D}" destId="{5B601F71-06E7-4FA9-ACF9-54B8B07189E8}" srcOrd="0" destOrd="0" parTransId="{D78EE63C-C7D6-4CCB-ABCF-E6B1FD36FA72}" sibTransId="{F86F1765-7F37-475F-9F61-B81647C8E9C2}"/>
    <dgm:cxn modelId="{801EBC59-E0FE-4F9B-9BA9-675CC4706743}" type="presOf" srcId="{F66E5EDD-B88F-4A09-80F4-1BF519CEAD49}" destId="{8E890FC5-9739-49C1-8D6F-D3A6273C6458}" srcOrd="0" destOrd="0" presId="urn:microsoft.com/office/officeart/2005/8/layout/hierarchy1"/>
    <dgm:cxn modelId="{AE7455F5-76E0-48AA-9F08-5B36904AA789}" srcId="{3B8DA98D-F045-4C69-AD78-B4FEA41CBCEF}" destId="{89C3F353-F102-4601-808A-8F21E665DA6D}" srcOrd="0" destOrd="0" parTransId="{13601920-35E6-41D1-B5CC-B30EC4A104E0}" sibTransId="{4B20DC15-6708-4089-AD04-5DACE1600BB4}"/>
    <dgm:cxn modelId="{151D2AC5-C7DB-42C6-8DAC-E850CDBADD1E}" srcId="{89C3F353-F102-4601-808A-8F21E665DA6D}" destId="{932C9C1F-646D-4F9F-A7FB-37E430CC3D49}" srcOrd="1" destOrd="0" parTransId="{990E4763-4210-4A7A-ACC5-DDF57C5EEEE6}" sibTransId="{594DF25E-AAAE-4991-8256-F71C34E85357}"/>
    <dgm:cxn modelId="{F53B6F67-1345-4C8C-AC20-4C23905D7113}" srcId="{932C9C1F-646D-4F9F-A7FB-37E430CC3D49}" destId="{C76EDB27-B348-4F09-8F54-BDC0F609C251}" srcOrd="0" destOrd="0" parTransId="{4A04E03D-8905-4C32-BC45-313ACBD8B6F9}" sibTransId="{895F31F5-9F3F-448D-AF64-E20CE3CDFF06}"/>
    <dgm:cxn modelId="{946CBC01-2532-4C5C-9CD8-DD26BDDCD24E}" type="presOf" srcId="{D78EE63C-C7D6-4CCB-ABCF-E6B1FD36FA72}" destId="{81438CDE-5187-4FA0-8BE9-8111DBFFC5AF}" srcOrd="0" destOrd="0" presId="urn:microsoft.com/office/officeart/2005/8/layout/hierarchy1"/>
    <dgm:cxn modelId="{8A1364BD-7FEE-4DD8-B0D6-439AD2C8FEB8}" type="presOf" srcId="{990E4763-4210-4A7A-ACC5-DDF57C5EEEE6}" destId="{3585E850-AEA8-4272-B1BA-8C31454661DF}" srcOrd="0" destOrd="0" presId="urn:microsoft.com/office/officeart/2005/8/layout/hierarchy1"/>
    <dgm:cxn modelId="{5B87D516-3342-4FC5-8CDF-C5F582F5C90F}" type="presOf" srcId="{C76EDB27-B348-4F09-8F54-BDC0F609C251}" destId="{46B3C7E8-F753-4FD3-8CD8-6AD54EC7A094}" srcOrd="0" destOrd="0" presId="urn:microsoft.com/office/officeart/2005/8/layout/hierarchy1"/>
    <dgm:cxn modelId="{9A8E8BD7-DA97-4635-ABEC-8786606F1B76}" type="presOf" srcId="{5B601F71-06E7-4FA9-ACF9-54B8B07189E8}" destId="{D0670C0C-BFB7-4FD6-89DB-D3B5CC63B559}" srcOrd="0" destOrd="0" presId="urn:microsoft.com/office/officeart/2005/8/layout/hierarchy1"/>
    <dgm:cxn modelId="{C98BC084-25FC-40A9-989A-4BC1692F5E8B}" type="presOf" srcId="{4A04E03D-8905-4C32-BC45-313ACBD8B6F9}" destId="{64A5464F-8106-45BB-80F3-F3DD0008AAB5}" srcOrd="0" destOrd="0" presId="urn:microsoft.com/office/officeart/2005/8/layout/hierarchy1"/>
    <dgm:cxn modelId="{B0BDA5D4-0FA4-439F-9D77-9532E01E6E32}" type="presParOf" srcId="{4FEA8ACB-8667-4907-898D-20CE201407F6}" destId="{2918A455-D4B0-4C2A-84A9-0105957739FB}" srcOrd="0" destOrd="0" presId="urn:microsoft.com/office/officeart/2005/8/layout/hierarchy1"/>
    <dgm:cxn modelId="{DC7F01BE-086A-4D3F-BBBE-4832C3205A29}" type="presParOf" srcId="{2918A455-D4B0-4C2A-84A9-0105957739FB}" destId="{116447D5-D433-482E-A88B-3C3C0B60DD84}" srcOrd="0" destOrd="0" presId="urn:microsoft.com/office/officeart/2005/8/layout/hierarchy1"/>
    <dgm:cxn modelId="{93A88C88-472F-4B44-AA71-41F50EF17ED4}" type="presParOf" srcId="{116447D5-D433-482E-A88B-3C3C0B60DD84}" destId="{9DF15F3F-7B4D-4107-9D9D-7CA4E0061793}" srcOrd="0" destOrd="0" presId="urn:microsoft.com/office/officeart/2005/8/layout/hierarchy1"/>
    <dgm:cxn modelId="{64BCEC26-217F-470B-B402-153B7EE47751}" type="presParOf" srcId="{116447D5-D433-482E-A88B-3C3C0B60DD84}" destId="{932B7A4F-F734-4BD0-8C67-D66728C8B5A3}" srcOrd="1" destOrd="0" presId="urn:microsoft.com/office/officeart/2005/8/layout/hierarchy1"/>
    <dgm:cxn modelId="{18031F4F-3FF7-472F-A048-F9925B1A2AC1}" type="presParOf" srcId="{2918A455-D4B0-4C2A-84A9-0105957739FB}" destId="{21F85961-115C-4C5B-A240-23A6936DC315}" srcOrd="1" destOrd="0" presId="urn:microsoft.com/office/officeart/2005/8/layout/hierarchy1"/>
    <dgm:cxn modelId="{7C96F6EA-5C78-4D73-BC95-50357692B525}" type="presParOf" srcId="{21F85961-115C-4C5B-A240-23A6936DC315}" destId="{81438CDE-5187-4FA0-8BE9-8111DBFFC5AF}" srcOrd="0" destOrd="0" presId="urn:microsoft.com/office/officeart/2005/8/layout/hierarchy1"/>
    <dgm:cxn modelId="{EB0FAA49-AF0A-493D-B55F-650D8640CCCD}" type="presParOf" srcId="{21F85961-115C-4C5B-A240-23A6936DC315}" destId="{E3CD6FB7-FDC2-45E9-BE2F-9740C44CABE8}" srcOrd="1" destOrd="0" presId="urn:microsoft.com/office/officeart/2005/8/layout/hierarchy1"/>
    <dgm:cxn modelId="{39A2BB46-F6C1-4370-8B28-F44FA6D145F2}" type="presParOf" srcId="{E3CD6FB7-FDC2-45E9-BE2F-9740C44CABE8}" destId="{2ED66AF3-A04C-44C1-A51B-F726E5BF6194}" srcOrd="0" destOrd="0" presId="urn:microsoft.com/office/officeart/2005/8/layout/hierarchy1"/>
    <dgm:cxn modelId="{8F294966-91D3-4592-849C-6A74693BB8F5}" type="presParOf" srcId="{2ED66AF3-A04C-44C1-A51B-F726E5BF6194}" destId="{C096C2D7-2540-43A5-A228-6824ED32336F}" srcOrd="0" destOrd="0" presId="urn:microsoft.com/office/officeart/2005/8/layout/hierarchy1"/>
    <dgm:cxn modelId="{86DB193C-A6A8-4BDC-ABA7-AA9543B67F00}" type="presParOf" srcId="{2ED66AF3-A04C-44C1-A51B-F726E5BF6194}" destId="{D0670C0C-BFB7-4FD6-89DB-D3B5CC63B559}" srcOrd="1" destOrd="0" presId="urn:microsoft.com/office/officeart/2005/8/layout/hierarchy1"/>
    <dgm:cxn modelId="{A4A00018-9643-4D5B-A923-9E8189F4CA6E}" type="presParOf" srcId="{E3CD6FB7-FDC2-45E9-BE2F-9740C44CABE8}" destId="{4D3B1986-7626-45E5-B644-50131241A608}" srcOrd="1" destOrd="0" presId="urn:microsoft.com/office/officeart/2005/8/layout/hierarchy1"/>
    <dgm:cxn modelId="{D2D9B33E-0EC2-4027-8AA8-C95A5D0F4AC8}" type="presParOf" srcId="{4D3B1986-7626-45E5-B644-50131241A608}" destId="{6781B61A-25F1-425C-8495-5FB34112FE56}" srcOrd="0" destOrd="0" presId="urn:microsoft.com/office/officeart/2005/8/layout/hierarchy1"/>
    <dgm:cxn modelId="{0EAA182A-2312-433F-8DE9-B69A6B303763}" type="presParOf" srcId="{4D3B1986-7626-45E5-B644-50131241A608}" destId="{BBA052A6-8775-46F5-BACA-D863D5F397FA}" srcOrd="1" destOrd="0" presId="urn:microsoft.com/office/officeart/2005/8/layout/hierarchy1"/>
    <dgm:cxn modelId="{DA1BC514-C948-4B67-8927-7EC740557F31}" type="presParOf" srcId="{BBA052A6-8775-46F5-BACA-D863D5F397FA}" destId="{B2CEAAE7-A19F-4E92-9A28-F0FA0989B239}" srcOrd="0" destOrd="0" presId="urn:microsoft.com/office/officeart/2005/8/layout/hierarchy1"/>
    <dgm:cxn modelId="{F22ADA36-D14C-4AEB-AD73-6EFD01462E4E}" type="presParOf" srcId="{B2CEAAE7-A19F-4E92-9A28-F0FA0989B239}" destId="{BE3138B0-766F-49CD-9F5C-EA30FBE7E5A3}" srcOrd="0" destOrd="0" presId="urn:microsoft.com/office/officeart/2005/8/layout/hierarchy1"/>
    <dgm:cxn modelId="{0161325F-6419-4180-8FC1-2E7BC5D1F3AA}" type="presParOf" srcId="{B2CEAAE7-A19F-4E92-9A28-F0FA0989B239}" destId="{AD4E87E3-DD0D-4A69-8D5B-88BE3F39C09E}" srcOrd="1" destOrd="0" presId="urn:microsoft.com/office/officeart/2005/8/layout/hierarchy1"/>
    <dgm:cxn modelId="{1BA571A0-F821-4D87-909E-A218D503EA35}" type="presParOf" srcId="{BBA052A6-8775-46F5-BACA-D863D5F397FA}" destId="{00A77273-DE1E-4B5E-B962-D74AF4680156}" srcOrd="1" destOrd="0" presId="urn:microsoft.com/office/officeart/2005/8/layout/hierarchy1"/>
    <dgm:cxn modelId="{BFDA0AE8-2495-46EB-B9CC-D4C275549176}" type="presParOf" srcId="{4D3B1986-7626-45E5-B644-50131241A608}" destId="{8E890FC5-9739-49C1-8D6F-D3A6273C6458}" srcOrd="2" destOrd="0" presId="urn:microsoft.com/office/officeart/2005/8/layout/hierarchy1"/>
    <dgm:cxn modelId="{2E138710-A717-4DB3-9004-CF05A2F0E13D}" type="presParOf" srcId="{4D3B1986-7626-45E5-B644-50131241A608}" destId="{E8D1A2C3-6AB9-4A5D-8008-760D0A4FC30C}" srcOrd="3" destOrd="0" presId="urn:microsoft.com/office/officeart/2005/8/layout/hierarchy1"/>
    <dgm:cxn modelId="{74F33B42-D166-44D3-B331-1D7E0131DA17}" type="presParOf" srcId="{E8D1A2C3-6AB9-4A5D-8008-760D0A4FC30C}" destId="{894B6680-CB0C-4D1A-BDE8-55A120102B97}" srcOrd="0" destOrd="0" presId="urn:microsoft.com/office/officeart/2005/8/layout/hierarchy1"/>
    <dgm:cxn modelId="{9949D159-D4F8-4FB7-A389-93CA000A034B}" type="presParOf" srcId="{894B6680-CB0C-4D1A-BDE8-55A120102B97}" destId="{5E0AEE0E-99B0-4F19-8170-22569937A0A3}" srcOrd="0" destOrd="0" presId="urn:microsoft.com/office/officeart/2005/8/layout/hierarchy1"/>
    <dgm:cxn modelId="{BBB4FACC-4AFE-4218-A5A5-B6CCCB84E38D}" type="presParOf" srcId="{894B6680-CB0C-4D1A-BDE8-55A120102B97}" destId="{38ADC0A9-868E-46C9-8A15-AB379610DCE9}" srcOrd="1" destOrd="0" presId="urn:microsoft.com/office/officeart/2005/8/layout/hierarchy1"/>
    <dgm:cxn modelId="{CEA832A4-936D-472E-B022-3270E3426741}" type="presParOf" srcId="{E8D1A2C3-6AB9-4A5D-8008-760D0A4FC30C}" destId="{3DA45C54-D373-4EB3-A640-6988BB117F94}" srcOrd="1" destOrd="0" presId="urn:microsoft.com/office/officeart/2005/8/layout/hierarchy1"/>
    <dgm:cxn modelId="{1590DE49-FE65-4288-94E1-438797B29166}" type="presParOf" srcId="{21F85961-115C-4C5B-A240-23A6936DC315}" destId="{3585E850-AEA8-4272-B1BA-8C31454661DF}" srcOrd="2" destOrd="0" presId="urn:microsoft.com/office/officeart/2005/8/layout/hierarchy1"/>
    <dgm:cxn modelId="{83EBA00A-9198-43C2-BB08-10E862632208}" type="presParOf" srcId="{21F85961-115C-4C5B-A240-23A6936DC315}" destId="{F64F3B50-E47B-459A-A8CC-B9BBEA734C52}" srcOrd="3" destOrd="0" presId="urn:microsoft.com/office/officeart/2005/8/layout/hierarchy1"/>
    <dgm:cxn modelId="{33A7843D-0519-4D90-A5B9-064BD41C6239}" type="presParOf" srcId="{F64F3B50-E47B-459A-A8CC-B9BBEA734C52}" destId="{D0ADA6B6-B5E7-48C6-BB95-2BEC1D6A582D}" srcOrd="0" destOrd="0" presId="urn:microsoft.com/office/officeart/2005/8/layout/hierarchy1"/>
    <dgm:cxn modelId="{ECDDC1E8-C593-43EA-82AF-1B6810AC5A20}" type="presParOf" srcId="{D0ADA6B6-B5E7-48C6-BB95-2BEC1D6A582D}" destId="{D0A83A35-36FE-45DC-BAEE-C7D52444DFD7}" srcOrd="0" destOrd="0" presId="urn:microsoft.com/office/officeart/2005/8/layout/hierarchy1"/>
    <dgm:cxn modelId="{C1F8856C-4EC8-4852-8636-201D378833B5}" type="presParOf" srcId="{D0ADA6B6-B5E7-48C6-BB95-2BEC1D6A582D}" destId="{D4EFA7F4-A063-44EA-9DA5-71E26C894A77}" srcOrd="1" destOrd="0" presId="urn:microsoft.com/office/officeart/2005/8/layout/hierarchy1"/>
    <dgm:cxn modelId="{4384F9FD-4D4A-4860-9C8B-4FD0C4429204}" type="presParOf" srcId="{F64F3B50-E47B-459A-A8CC-B9BBEA734C52}" destId="{8103DB82-41D4-4497-AEB3-E8696EB27178}" srcOrd="1" destOrd="0" presId="urn:microsoft.com/office/officeart/2005/8/layout/hierarchy1"/>
    <dgm:cxn modelId="{4A4E2CFD-87E3-4F6F-917A-F09692DC1E85}" type="presParOf" srcId="{8103DB82-41D4-4497-AEB3-E8696EB27178}" destId="{64A5464F-8106-45BB-80F3-F3DD0008AAB5}" srcOrd="0" destOrd="0" presId="urn:microsoft.com/office/officeart/2005/8/layout/hierarchy1"/>
    <dgm:cxn modelId="{D9D46016-F167-4A9A-ABB5-77656FF6D172}" type="presParOf" srcId="{8103DB82-41D4-4497-AEB3-E8696EB27178}" destId="{073882BF-1A6A-45A0-B833-6744A432CAF7}" srcOrd="1" destOrd="0" presId="urn:microsoft.com/office/officeart/2005/8/layout/hierarchy1"/>
    <dgm:cxn modelId="{18DDA0FA-2EBD-43A0-AA8A-95B4B0AE5FC6}" type="presParOf" srcId="{073882BF-1A6A-45A0-B833-6744A432CAF7}" destId="{07BAE5AA-05BD-40BF-861C-9F59B96EDEAB}" srcOrd="0" destOrd="0" presId="urn:microsoft.com/office/officeart/2005/8/layout/hierarchy1"/>
    <dgm:cxn modelId="{1F59143F-ACB3-4B5D-96E8-83477D689466}" type="presParOf" srcId="{07BAE5AA-05BD-40BF-861C-9F59B96EDEAB}" destId="{A8EE79B8-7589-45BF-A3A5-DE193A384A04}" srcOrd="0" destOrd="0" presId="urn:microsoft.com/office/officeart/2005/8/layout/hierarchy1"/>
    <dgm:cxn modelId="{1D1F339A-C5DA-4CA9-83E6-B4E68140F9CA}" type="presParOf" srcId="{07BAE5AA-05BD-40BF-861C-9F59B96EDEAB}" destId="{46B3C7E8-F753-4FD3-8CD8-6AD54EC7A094}" srcOrd="1" destOrd="0" presId="urn:microsoft.com/office/officeart/2005/8/layout/hierarchy1"/>
    <dgm:cxn modelId="{5E30B9F8-1DEC-477A-9CE3-1DA5E9A21DA9}" type="presParOf" srcId="{073882BF-1A6A-45A0-B833-6744A432CAF7}" destId="{6115E506-5A15-4AF8-A269-FE38AA51BCA4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4A5464F-8106-45BB-80F3-F3DD0008AAB5}">
      <dsp:nvSpPr>
        <dsp:cNvPr id="0" name=""/>
        <dsp:cNvSpPr/>
      </dsp:nvSpPr>
      <dsp:spPr>
        <a:xfrm>
          <a:off x="2942434" y="1153637"/>
          <a:ext cx="91440" cy="2149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149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3585E850-AEA8-4272-B1BA-8C31454661DF}">
      <dsp:nvSpPr>
        <dsp:cNvPr id="0" name=""/>
        <dsp:cNvSpPr/>
      </dsp:nvSpPr>
      <dsp:spPr>
        <a:xfrm>
          <a:off x="2310731" y="469441"/>
          <a:ext cx="677422" cy="2149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6466"/>
              </a:lnTo>
              <a:lnTo>
                <a:pt x="677422" y="146466"/>
              </a:lnTo>
              <a:lnTo>
                <a:pt x="677422" y="2149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8E890FC5-9739-49C1-8D6F-D3A6273C6458}">
      <dsp:nvSpPr>
        <dsp:cNvPr id="0" name=""/>
        <dsp:cNvSpPr/>
      </dsp:nvSpPr>
      <dsp:spPr>
        <a:xfrm>
          <a:off x="1633309" y="1153637"/>
          <a:ext cx="451615" cy="2149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6466"/>
              </a:lnTo>
              <a:lnTo>
                <a:pt x="451615" y="146466"/>
              </a:lnTo>
              <a:lnTo>
                <a:pt x="451615" y="2149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6781B61A-25F1-425C-8495-5FB34112FE56}">
      <dsp:nvSpPr>
        <dsp:cNvPr id="0" name=""/>
        <dsp:cNvSpPr/>
      </dsp:nvSpPr>
      <dsp:spPr>
        <a:xfrm>
          <a:off x="1181694" y="1153637"/>
          <a:ext cx="451615" cy="214927"/>
        </a:xfrm>
        <a:custGeom>
          <a:avLst/>
          <a:gdLst/>
          <a:ahLst/>
          <a:cxnLst/>
          <a:rect l="0" t="0" r="0" b="0"/>
          <a:pathLst>
            <a:path>
              <a:moveTo>
                <a:pt x="451615" y="0"/>
              </a:moveTo>
              <a:lnTo>
                <a:pt x="451615" y="146466"/>
              </a:lnTo>
              <a:lnTo>
                <a:pt x="0" y="146466"/>
              </a:lnTo>
              <a:lnTo>
                <a:pt x="0" y="21492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81438CDE-5187-4FA0-8BE9-8111DBFFC5AF}">
      <dsp:nvSpPr>
        <dsp:cNvPr id="0" name=""/>
        <dsp:cNvSpPr/>
      </dsp:nvSpPr>
      <dsp:spPr>
        <a:xfrm>
          <a:off x="1633309" y="469441"/>
          <a:ext cx="677422" cy="214927"/>
        </a:xfrm>
        <a:custGeom>
          <a:avLst/>
          <a:gdLst/>
          <a:ahLst/>
          <a:cxnLst/>
          <a:rect l="0" t="0" r="0" b="0"/>
          <a:pathLst>
            <a:path>
              <a:moveTo>
                <a:pt x="677422" y="0"/>
              </a:moveTo>
              <a:lnTo>
                <a:pt x="677422" y="146466"/>
              </a:lnTo>
              <a:lnTo>
                <a:pt x="0" y="146466"/>
              </a:lnTo>
              <a:lnTo>
                <a:pt x="0" y="214927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-25400" prstMaterial="plastic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tx1"/>
        </a:fontRef>
      </dsp:style>
    </dsp:sp>
    <dsp:sp modelId="{9DF15F3F-7B4D-4107-9D9D-7CA4E0061793}">
      <dsp:nvSpPr>
        <dsp:cNvPr id="0" name=""/>
        <dsp:cNvSpPr/>
      </dsp:nvSpPr>
      <dsp:spPr>
        <a:xfrm>
          <a:off x="1941228" y="172"/>
          <a:ext cx="739006" cy="4692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932B7A4F-F734-4BD0-8C67-D66728C8B5A3}">
      <dsp:nvSpPr>
        <dsp:cNvPr id="0" name=""/>
        <dsp:cNvSpPr/>
      </dsp:nvSpPr>
      <dsp:spPr>
        <a:xfrm>
          <a:off x="2023340" y="78178"/>
          <a:ext cx="739006" cy="469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burzovní trhy</a:t>
          </a:r>
        </a:p>
      </dsp:txBody>
      <dsp:txXfrm>
        <a:off x="2023340" y="78178"/>
        <a:ext cx="739006" cy="469269"/>
      </dsp:txXfrm>
    </dsp:sp>
    <dsp:sp modelId="{C096C2D7-2540-43A5-A228-6824ED32336F}">
      <dsp:nvSpPr>
        <dsp:cNvPr id="0" name=""/>
        <dsp:cNvSpPr/>
      </dsp:nvSpPr>
      <dsp:spPr>
        <a:xfrm>
          <a:off x="1263805" y="684368"/>
          <a:ext cx="739006" cy="4692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0670C0C-BFB7-4FD6-89DB-D3B5CC63B559}">
      <dsp:nvSpPr>
        <dsp:cNvPr id="0" name=""/>
        <dsp:cNvSpPr/>
      </dsp:nvSpPr>
      <dsp:spPr>
        <a:xfrm>
          <a:off x="1345917" y="762375"/>
          <a:ext cx="739006" cy="469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regulovaný trh</a:t>
          </a:r>
        </a:p>
      </dsp:txBody>
      <dsp:txXfrm>
        <a:off x="1345917" y="762375"/>
        <a:ext cx="739006" cy="469269"/>
      </dsp:txXfrm>
    </dsp:sp>
    <dsp:sp modelId="{BE3138B0-766F-49CD-9F5C-EA30FBE7E5A3}">
      <dsp:nvSpPr>
        <dsp:cNvPr id="0" name=""/>
        <dsp:cNvSpPr/>
      </dsp:nvSpPr>
      <dsp:spPr>
        <a:xfrm>
          <a:off x="812190" y="1368565"/>
          <a:ext cx="739006" cy="4692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D4E87E3-DD0D-4A69-8D5B-88BE3F39C09E}">
      <dsp:nvSpPr>
        <dsp:cNvPr id="0" name=""/>
        <dsp:cNvSpPr/>
      </dsp:nvSpPr>
      <dsp:spPr>
        <a:xfrm>
          <a:off x="894302" y="1446571"/>
          <a:ext cx="739006" cy="469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hlavní trh</a:t>
          </a:r>
        </a:p>
      </dsp:txBody>
      <dsp:txXfrm>
        <a:off x="894302" y="1446571"/>
        <a:ext cx="739006" cy="469269"/>
      </dsp:txXfrm>
    </dsp:sp>
    <dsp:sp modelId="{5E0AEE0E-99B0-4F19-8170-22569937A0A3}">
      <dsp:nvSpPr>
        <dsp:cNvPr id="0" name=""/>
        <dsp:cNvSpPr/>
      </dsp:nvSpPr>
      <dsp:spPr>
        <a:xfrm>
          <a:off x="1715420" y="1368565"/>
          <a:ext cx="739006" cy="4692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38ADC0A9-868E-46C9-8A15-AB379610DCE9}">
      <dsp:nvSpPr>
        <dsp:cNvPr id="0" name=""/>
        <dsp:cNvSpPr/>
      </dsp:nvSpPr>
      <dsp:spPr>
        <a:xfrm>
          <a:off x="1797532" y="1446571"/>
          <a:ext cx="739006" cy="469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volný trh</a:t>
          </a:r>
        </a:p>
      </dsp:txBody>
      <dsp:txXfrm>
        <a:off x="1797532" y="1446571"/>
        <a:ext cx="739006" cy="469269"/>
      </dsp:txXfrm>
    </dsp:sp>
    <dsp:sp modelId="{D0A83A35-36FE-45DC-BAEE-C7D52444DFD7}">
      <dsp:nvSpPr>
        <dsp:cNvPr id="0" name=""/>
        <dsp:cNvSpPr/>
      </dsp:nvSpPr>
      <dsp:spPr>
        <a:xfrm>
          <a:off x="2618650" y="684368"/>
          <a:ext cx="739006" cy="4692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D4EFA7F4-A063-44EA-9DA5-71E26C894A77}">
      <dsp:nvSpPr>
        <dsp:cNvPr id="0" name=""/>
        <dsp:cNvSpPr/>
      </dsp:nvSpPr>
      <dsp:spPr>
        <a:xfrm>
          <a:off x="2700762" y="762375"/>
          <a:ext cx="739006" cy="469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neregulovaný trh</a:t>
          </a:r>
        </a:p>
      </dsp:txBody>
      <dsp:txXfrm>
        <a:off x="2700762" y="762375"/>
        <a:ext cx="739006" cy="469269"/>
      </dsp:txXfrm>
    </dsp:sp>
    <dsp:sp modelId="{A8EE79B8-7589-45BF-A3A5-DE193A384A04}">
      <dsp:nvSpPr>
        <dsp:cNvPr id="0" name=""/>
        <dsp:cNvSpPr/>
      </dsp:nvSpPr>
      <dsp:spPr>
        <a:xfrm>
          <a:off x="2618650" y="1368565"/>
          <a:ext cx="739006" cy="46926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p3d prstMaterial="plastic">
          <a:bevelT w="50800" h="50800"/>
          <a:bevelB w="50800" h="508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46B3C7E8-F753-4FD3-8CD8-6AD54EC7A094}">
      <dsp:nvSpPr>
        <dsp:cNvPr id="0" name=""/>
        <dsp:cNvSpPr/>
      </dsp:nvSpPr>
      <dsp:spPr>
        <a:xfrm>
          <a:off x="2700762" y="1446571"/>
          <a:ext cx="739006" cy="469269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p3d z="50080" prstMaterial="plastic">
          <a:bevelT w="25400" h="25400"/>
          <a:bevelB w="25400" h="25400"/>
        </a:sp3d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900" kern="1200"/>
            <a:t>trh MTF</a:t>
          </a:r>
        </a:p>
      </dsp:txBody>
      <dsp:txXfrm>
        <a:off x="2700762" y="1446571"/>
        <a:ext cx="739006" cy="46926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BD0B9-B176-4F5A-BDD9-F1F8CCC56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956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Dum</cp:lastModifiedBy>
  <cp:revision>2</cp:revision>
  <dcterms:created xsi:type="dcterms:W3CDTF">2014-06-17T11:40:00Z</dcterms:created>
  <dcterms:modified xsi:type="dcterms:W3CDTF">2014-06-17T11:40:00Z</dcterms:modified>
</cp:coreProperties>
</file>