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49B" w:rsidRDefault="0099249B" w:rsidP="0099249B">
      <w:pPr>
        <w:spacing w:before="240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noProof/>
        </w:rPr>
        <w:drawing>
          <wp:inline distT="0" distB="0" distL="0" distR="0">
            <wp:extent cx="5762625" cy="1254760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49B" w:rsidRDefault="0099249B" w:rsidP="0099249B">
      <w:pPr>
        <w:jc w:val="center"/>
        <w:rPr>
          <w:rFonts w:ascii="Calibri" w:eastAsia="Calibri" w:hAnsi="Calibri"/>
          <w:lang w:eastAsia="en-US"/>
        </w:rPr>
      </w:pPr>
    </w:p>
    <w:p w:rsidR="0099249B" w:rsidRDefault="0099249B" w:rsidP="0099249B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99249B" w:rsidRDefault="0099249B" w:rsidP="0099249B">
      <w:pPr>
        <w:jc w:val="center"/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D</w:t>
      </w:r>
      <w:r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>
        <w:rPr>
          <w:rFonts w:ascii="Calibri" w:eastAsia="Calibri" w:hAnsi="Calibri"/>
          <w:b/>
          <w:smallCaps/>
          <w:sz w:val="52"/>
          <w:lang w:eastAsia="en-US"/>
        </w:rPr>
        <w:t>U</w:t>
      </w:r>
      <w:r>
        <w:rPr>
          <w:rFonts w:ascii="Calibri" w:eastAsia="Calibri" w:hAnsi="Calibri"/>
          <w:smallCaps/>
          <w:sz w:val="52"/>
          <w:lang w:eastAsia="en-US"/>
        </w:rPr>
        <w:t xml:space="preserve">čební </w:t>
      </w:r>
      <w:r>
        <w:rPr>
          <w:rFonts w:ascii="Calibri" w:eastAsia="Calibri" w:hAnsi="Calibri"/>
          <w:b/>
          <w:smallCaps/>
          <w:sz w:val="52"/>
          <w:lang w:eastAsia="en-US"/>
        </w:rPr>
        <w:t>M</w:t>
      </w:r>
      <w:r>
        <w:rPr>
          <w:rFonts w:ascii="Calibri" w:eastAsia="Calibri" w:hAnsi="Calibri"/>
          <w:smallCaps/>
          <w:sz w:val="52"/>
          <w:lang w:eastAsia="en-US"/>
        </w:rPr>
        <w:t>ateriál</w:t>
      </w:r>
    </w:p>
    <w:p w:rsidR="0099249B" w:rsidRDefault="0099249B" w:rsidP="0099249B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99249B" w:rsidRDefault="0099249B" w:rsidP="0099249B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99249B" w:rsidTr="0099249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249B" w:rsidRDefault="0099249B">
            <w:pPr>
              <w:rPr>
                <w:rFonts w:ascii="Calibri" w:hAnsi="Calibri"/>
                <w:smallCaps/>
                <w:sz w:val="44"/>
                <w:szCs w:val="44"/>
                <w:lang w:eastAsia="en-US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249B" w:rsidRDefault="0099249B">
            <w:pPr>
              <w:jc w:val="center"/>
              <w:rPr>
                <w:rFonts w:ascii="Calibri" w:eastAsia="Times New Roman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CZ.1.07/1.5.00/34.0423</w:t>
            </w:r>
          </w:p>
        </w:tc>
      </w:tr>
      <w:tr w:rsidR="0099249B" w:rsidTr="0099249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249B" w:rsidRDefault="0099249B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249B" w:rsidRDefault="0099249B" w:rsidP="0099249B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rFonts w:ascii="Calibri" w:hAnsi="Calibri"/>
                <w:smallCaps/>
                <w:sz w:val="28"/>
                <w:szCs w:val="28"/>
              </w:rPr>
              <w:t>20</w:t>
            </w:r>
            <w:r>
              <w:rPr>
                <w:rFonts w:ascii="Calibri" w:hAnsi="Calibri"/>
                <w:smallCaps/>
                <w:sz w:val="28"/>
                <w:szCs w:val="28"/>
              </w:rPr>
              <w:t xml:space="preserve">. </w:t>
            </w:r>
            <w:r>
              <w:rPr>
                <w:rFonts w:ascii="Calibri" w:hAnsi="Calibri"/>
                <w:smallCaps/>
                <w:sz w:val="28"/>
                <w:szCs w:val="28"/>
              </w:rPr>
              <w:t>hospodářská soutěž a konkurence</w:t>
            </w:r>
          </w:p>
        </w:tc>
      </w:tr>
      <w:tr w:rsidR="0099249B" w:rsidTr="0099249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249B" w:rsidRDefault="0099249B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249B" w:rsidRDefault="0099249B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  <w:sz w:val="24"/>
                <w:szCs w:val="24"/>
              </w:rPr>
            </w:pPr>
            <w:r>
              <w:rPr>
                <w:rFonts w:ascii="Calibri" w:hAnsi="Calibri"/>
              </w:rPr>
              <w:t>Střední škola a Vyšší odborná škola cestovního ruchu, Senovážné náměstí 12, České Budějovice 370 01</w:t>
            </w:r>
          </w:p>
        </w:tc>
      </w:tr>
      <w:tr w:rsidR="0099249B" w:rsidTr="0099249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249B" w:rsidRDefault="0099249B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249B" w:rsidRDefault="009924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Ing. Jindřiška Baronová</w:t>
            </w:r>
          </w:p>
        </w:tc>
      </w:tr>
      <w:tr w:rsidR="0099249B" w:rsidTr="0099249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249B" w:rsidRDefault="0099249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249B" w:rsidRDefault="009924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99249B" w:rsidTr="0099249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249B" w:rsidRDefault="0099249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249B" w:rsidRDefault="009924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I. ročník nástavbového studia, maturitní obor Společné stravování</w:t>
            </w:r>
          </w:p>
        </w:tc>
      </w:tr>
      <w:tr w:rsidR="0099249B" w:rsidTr="0099249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9249B" w:rsidRDefault="0099249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249B" w:rsidRDefault="009924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říjen</w:t>
            </w:r>
            <w:r>
              <w:rPr>
                <w:sz w:val="28"/>
                <w:szCs w:val="28"/>
              </w:rPr>
              <w:t xml:space="preserve"> 2013</w:t>
            </w:r>
          </w:p>
        </w:tc>
      </w:tr>
    </w:tbl>
    <w:p w:rsidR="0099249B" w:rsidRDefault="0099249B" w:rsidP="0099249B">
      <w:pPr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99249B" w:rsidRDefault="0099249B" w:rsidP="0099249B">
      <w:pPr>
        <w:rPr>
          <w:rFonts w:ascii="Calibri" w:eastAsia="Calibri" w:hAnsi="Calibri"/>
          <w:smallCaps/>
          <w:sz w:val="52"/>
          <w:lang w:eastAsia="en-US"/>
        </w:rPr>
      </w:pPr>
    </w:p>
    <w:p w:rsidR="0099249B" w:rsidRDefault="0099249B" w:rsidP="0099249B">
      <w:pPr>
        <w:rPr>
          <w:rFonts w:ascii="Calibri" w:eastAsia="Calibri" w:hAnsi="Calibri"/>
          <w:b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99249B" w:rsidRDefault="0099249B" w:rsidP="0099249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digitální učební materiál je zpracován k výuce předmětu Ekonomika a podnikání v </w:t>
      </w:r>
      <w:r>
        <w:rPr>
          <w:rFonts w:ascii="Calibri" w:eastAsia="Calibri" w:hAnsi="Calibri"/>
          <w:sz w:val="28"/>
          <w:szCs w:val="28"/>
          <w:lang w:eastAsia="en-US"/>
        </w:rPr>
        <w:t>1</w:t>
      </w:r>
      <w:r>
        <w:rPr>
          <w:rFonts w:ascii="Calibri" w:eastAsia="Calibri" w:hAnsi="Calibri"/>
          <w:sz w:val="28"/>
          <w:szCs w:val="28"/>
          <w:lang w:eastAsia="en-US"/>
        </w:rPr>
        <w:t>. ročníku pro studijní obor 65-41-L/51 Gastronomie, ŠVP: Společné stravování.</w:t>
      </w:r>
    </w:p>
    <w:p w:rsidR="0099249B" w:rsidRDefault="0099249B" w:rsidP="0099249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</w:t>
      </w:r>
      <w:r>
        <w:rPr>
          <w:rFonts w:ascii="Calibri" w:eastAsia="Calibri" w:hAnsi="Calibri"/>
          <w:sz w:val="28"/>
          <w:szCs w:val="28"/>
          <w:lang w:eastAsia="en-US"/>
        </w:rPr>
        <w:t>charakterizuje úlohu státu v hospodaření země a druhy státní politiky v NH. Vysvětluje pojmy hospodářská soutěž, nekalá soutěž a omezování hospodářské soutěže.  Zabývá se druhy konkurence, možnostmi konkurence na straně nabídky a poptávky, dává přehled o znacích dokonalé a nedokonalé konkurence.</w:t>
      </w:r>
    </w:p>
    <w:p w:rsidR="0099249B" w:rsidRDefault="0099249B" w:rsidP="0099249B">
      <w:pPr>
        <w:rPr>
          <w:rFonts w:ascii="Calibri" w:eastAsia="Calibri" w:hAnsi="Calibri"/>
          <w:sz w:val="28"/>
          <w:szCs w:val="28"/>
          <w:lang w:eastAsia="en-US"/>
        </w:rPr>
      </w:pPr>
    </w:p>
    <w:p w:rsidR="0099249B" w:rsidRDefault="0099249B" w:rsidP="0099249B">
      <w:pPr>
        <w:rPr>
          <w:rFonts w:ascii="Calibri" w:eastAsia="Calibri" w:hAnsi="Calibri"/>
          <w:b/>
          <w:bCs/>
          <w:smallCaps/>
          <w:sz w:val="52"/>
          <w:szCs w:val="24"/>
          <w:lang w:eastAsia="en-US"/>
        </w:rPr>
      </w:pPr>
      <w:r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99249B" w:rsidRDefault="0099249B" w:rsidP="0099249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99249B" w:rsidRDefault="0099249B" w:rsidP="0099249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materiál je vhodné využít jako pomůcku pro výuku. Žáci jej mohou použít jako podklad pro zápis poznámek. </w:t>
      </w:r>
    </w:p>
    <w:p w:rsidR="0099249B" w:rsidRDefault="0099249B" w:rsidP="0099249B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99249B" w:rsidRDefault="0099249B" w:rsidP="0099249B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99249B" w:rsidRDefault="0099249B" w:rsidP="0099249B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99249B" w:rsidRDefault="0099249B" w:rsidP="0099249B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162C98" w:rsidRDefault="00162C98" w:rsidP="0099249B">
      <w:pPr>
        <w:spacing w:after="0"/>
      </w:pPr>
    </w:p>
    <w:p w:rsidR="00162C98" w:rsidRDefault="00162C98" w:rsidP="00162C98">
      <w:pPr>
        <w:pStyle w:val="Nadpis2"/>
      </w:pPr>
      <w:bookmarkStart w:id="0" w:name="_GoBack"/>
      <w:bookmarkEnd w:id="0"/>
      <w:r>
        <w:lastRenderedPageBreak/>
        <w:t>Hospodářská politika</w:t>
      </w:r>
    </w:p>
    <w:p w:rsidR="00162C98" w:rsidRDefault="00162C98" w:rsidP="00162C98">
      <w:pPr>
        <w:spacing w:after="0"/>
      </w:pPr>
      <w:r>
        <w:t xml:space="preserve">   Ve společnosti existují problémy (inflace, nezaměstnanost, monopoly, </w:t>
      </w:r>
      <w:proofErr w:type="spellStart"/>
      <w:r>
        <w:t>hosp</w:t>
      </w:r>
      <w:proofErr w:type="spellEnd"/>
      <w:r>
        <w:t xml:space="preserve">. cykly), které neviditelná ruka trhu nevyřeší a statky a služby, které není soukromý sektor schopen zajistit v dostatečném množství (dálnice, železnice, veř. </w:t>
      </w:r>
      <w:proofErr w:type="gramStart"/>
      <w:r>
        <w:t>osvětlení</w:t>
      </w:r>
      <w:proofErr w:type="gramEnd"/>
      <w:r>
        <w:t>). V tomto okamžiku zasahuje stát, aby vývoj ekonomiky usměrnil svými zásahy. Tyto zásahy probíhají prostřednictvím státních orgánů (parlament, vláda, ministerstva, úřady) a ČNB, a to těmito nástroji:</w:t>
      </w:r>
    </w:p>
    <w:p w:rsidR="00162C98" w:rsidRDefault="00162C98" w:rsidP="00162C98">
      <w:pPr>
        <w:spacing w:after="0"/>
      </w:pPr>
    </w:p>
    <w:p w:rsidR="00162C98" w:rsidRDefault="00162C98" w:rsidP="00162C98">
      <w:pPr>
        <w:pStyle w:val="Odstavecseseznamem"/>
        <w:numPr>
          <w:ilvl w:val="0"/>
          <w:numId w:val="15"/>
        </w:numPr>
        <w:spacing w:after="0"/>
        <w:ind w:left="426" w:hanging="426"/>
      </w:pPr>
      <w:r w:rsidRPr="00E17C31">
        <w:rPr>
          <w:b/>
        </w:rPr>
        <w:t>Monetární politika</w:t>
      </w:r>
      <w:r>
        <w:t xml:space="preserve"> – ovlivnění množství peněz v oběhu a tím míry inflace (př. diskontní sazba)</w:t>
      </w:r>
    </w:p>
    <w:p w:rsidR="00162C98" w:rsidRDefault="00162C98" w:rsidP="00162C98">
      <w:pPr>
        <w:pStyle w:val="Odstavecseseznamem"/>
        <w:numPr>
          <w:ilvl w:val="0"/>
          <w:numId w:val="15"/>
        </w:numPr>
        <w:spacing w:after="0"/>
        <w:ind w:left="426" w:hanging="426"/>
      </w:pPr>
      <w:r w:rsidRPr="00E17C31">
        <w:rPr>
          <w:b/>
        </w:rPr>
        <w:t>Fiskální pol</w:t>
      </w:r>
      <w:r>
        <w:rPr>
          <w:b/>
        </w:rPr>
        <w:t>.</w:t>
      </w:r>
      <w:r w:rsidRPr="00E17C31">
        <w:rPr>
          <w:b/>
        </w:rPr>
        <w:t xml:space="preserve"> (rozpočtová)</w:t>
      </w:r>
      <w:r>
        <w:t xml:space="preserve"> – plánování příjmů a výdajů státního rozpočtu – příjmy z daní, cel; výdaje do školství, zdravotnictví, obrany, policie …</w:t>
      </w:r>
    </w:p>
    <w:p w:rsidR="00162C98" w:rsidRDefault="00162C98" w:rsidP="00162C98">
      <w:pPr>
        <w:pStyle w:val="Odstavecseseznamem"/>
        <w:numPr>
          <w:ilvl w:val="0"/>
          <w:numId w:val="15"/>
        </w:numPr>
        <w:spacing w:after="0"/>
        <w:ind w:left="426" w:hanging="426"/>
      </w:pPr>
      <w:r w:rsidRPr="00207DB9">
        <w:rPr>
          <w:b/>
        </w:rPr>
        <w:t>Zahraničněobchodní pol.</w:t>
      </w:r>
      <w:r>
        <w:t xml:space="preserve"> – ochrana domácího trhu a omezování </w:t>
      </w:r>
      <w:proofErr w:type="spellStart"/>
      <w:r>
        <w:t>zahr</w:t>
      </w:r>
      <w:proofErr w:type="spellEnd"/>
      <w:r>
        <w:t xml:space="preserve">. </w:t>
      </w:r>
      <w:proofErr w:type="gramStart"/>
      <w:r>
        <w:t>obchodu</w:t>
      </w:r>
      <w:proofErr w:type="gramEnd"/>
      <w:r>
        <w:t xml:space="preserve"> (cla, kvóty, embarga, podpora vývozu, obchodní smlouvy, dohody o placení)</w:t>
      </w:r>
    </w:p>
    <w:p w:rsidR="00162C98" w:rsidRDefault="00162C98" w:rsidP="00162C98">
      <w:pPr>
        <w:pStyle w:val="Odstavecseseznamem"/>
        <w:numPr>
          <w:ilvl w:val="0"/>
          <w:numId w:val="15"/>
        </w:numPr>
        <w:spacing w:after="0"/>
        <w:ind w:left="426" w:hanging="426"/>
      </w:pPr>
      <w:r w:rsidRPr="00207DB9">
        <w:rPr>
          <w:b/>
        </w:rPr>
        <w:t>Sociální politika</w:t>
      </w:r>
      <w:r>
        <w:t xml:space="preserve"> – řeší důchody, podpory a státní příspěvky, stanovuje min. mzdu, odvody pojistného</w:t>
      </w:r>
    </w:p>
    <w:p w:rsidR="00162C98" w:rsidRDefault="00162C98" w:rsidP="00162C98">
      <w:pPr>
        <w:pStyle w:val="Odstavecseseznamem"/>
        <w:numPr>
          <w:ilvl w:val="0"/>
          <w:numId w:val="15"/>
        </w:numPr>
        <w:spacing w:after="0"/>
        <w:ind w:left="426" w:hanging="426"/>
      </w:pPr>
      <w:r w:rsidRPr="00207DB9">
        <w:rPr>
          <w:b/>
        </w:rPr>
        <w:t>Protimonopolní pol</w:t>
      </w:r>
      <w:r>
        <w:t xml:space="preserve">.  - zákony omezující monopolní dohody, cílem ochrana spotřebitele (větší konkurence vede ke snižování nákladů a cen) -&gt; </w:t>
      </w:r>
      <w:r w:rsidRPr="00DF7075">
        <w:rPr>
          <w:i/>
        </w:rPr>
        <w:t>hospodářská soutěž</w:t>
      </w:r>
    </w:p>
    <w:p w:rsidR="00162C98" w:rsidRDefault="00162C98" w:rsidP="00162C98">
      <w:pPr>
        <w:spacing w:after="0"/>
      </w:pPr>
    </w:p>
    <w:p w:rsidR="00162C98" w:rsidRDefault="00162C98" w:rsidP="00162C98">
      <w:r w:rsidRPr="0059040F">
        <w:rPr>
          <w:rStyle w:val="Nadpis2Char"/>
        </w:rPr>
        <w:t>Hospodářská soutěž</w:t>
      </w:r>
      <w:r>
        <w:t xml:space="preserve"> (souvisí s konkurencí) – účastníci </w:t>
      </w:r>
      <w:proofErr w:type="spellStart"/>
      <w:r>
        <w:t>hosp</w:t>
      </w:r>
      <w:proofErr w:type="spellEnd"/>
      <w:r>
        <w:t xml:space="preserve">. soutěže mají právo dosahovat </w:t>
      </w:r>
      <w:proofErr w:type="spellStart"/>
      <w:r>
        <w:t>hosp</w:t>
      </w:r>
      <w:proofErr w:type="spellEnd"/>
      <w:r>
        <w:t>. prospěchu, jsou však povinni dodržovat zákony.</w:t>
      </w:r>
    </w:p>
    <w:p w:rsidR="00162C98" w:rsidRDefault="00162C98" w:rsidP="00162C98">
      <w:pPr>
        <w:pStyle w:val="Nadpis3"/>
      </w:pPr>
      <w:r>
        <w:t xml:space="preserve">Zákon o ochraně </w:t>
      </w:r>
      <w:proofErr w:type="spellStart"/>
      <w:r>
        <w:t>hosp</w:t>
      </w:r>
      <w:proofErr w:type="spellEnd"/>
      <w:r>
        <w:t>. soutěže (protimonopolní zákon)</w:t>
      </w:r>
    </w:p>
    <w:p w:rsidR="00162C98" w:rsidRPr="001A4DED" w:rsidRDefault="00162C98" w:rsidP="00162C98">
      <w:pPr>
        <w:spacing w:after="0"/>
      </w:pPr>
    </w:p>
    <w:p w:rsidR="00162C98" w:rsidRDefault="00162C98" w:rsidP="00162C98">
      <w:r w:rsidRPr="001A4DED">
        <w:rPr>
          <w:b/>
        </w:rPr>
        <w:t>Zneužití v </w:t>
      </w:r>
      <w:proofErr w:type="spellStart"/>
      <w:r w:rsidRPr="001A4DED">
        <w:rPr>
          <w:b/>
        </w:rPr>
        <w:t>hosp</w:t>
      </w:r>
      <w:proofErr w:type="spellEnd"/>
      <w:r w:rsidRPr="001A4DED">
        <w:rPr>
          <w:b/>
        </w:rPr>
        <w:t>. soutěži – nekalá soutěž</w:t>
      </w:r>
      <w:r>
        <w:t xml:space="preserve"> (upravuje obchodní zákoník) – klamavá reklama, klamavé označování zboží a služeb, vyvolávání nebezpečí záměny, parazitování na pověsti podniku, podplácení, porušování obch. </w:t>
      </w:r>
      <w:proofErr w:type="gramStart"/>
      <w:r>
        <w:t>tajemství</w:t>
      </w:r>
      <w:proofErr w:type="gramEnd"/>
      <w:r>
        <w:t>, ohrožování zdraví spotřebitelů a živ. prostředí</w:t>
      </w:r>
    </w:p>
    <w:p w:rsidR="00162C98" w:rsidRDefault="00162C98" w:rsidP="00162C98">
      <w:r>
        <w:tab/>
      </w:r>
      <w:r>
        <w:tab/>
      </w:r>
      <w:r>
        <w:tab/>
        <w:t xml:space="preserve">- </w:t>
      </w:r>
      <w:r w:rsidRPr="001A4DED">
        <w:rPr>
          <w:b/>
        </w:rPr>
        <w:t xml:space="preserve">nedovolené omezování </w:t>
      </w:r>
      <w:proofErr w:type="spellStart"/>
      <w:r w:rsidRPr="001A4DED">
        <w:rPr>
          <w:b/>
        </w:rPr>
        <w:t>hosp</w:t>
      </w:r>
      <w:proofErr w:type="spellEnd"/>
      <w:r w:rsidRPr="001A4DED">
        <w:rPr>
          <w:b/>
        </w:rPr>
        <w:t>. soutěže</w:t>
      </w:r>
      <w:r>
        <w:t xml:space="preserve"> (zákon o ochraně </w:t>
      </w:r>
      <w:proofErr w:type="spellStart"/>
      <w:r>
        <w:t>hosp</w:t>
      </w:r>
      <w:proofErr w:type="spellEnd"/>
      <w:r>
        <w:t xml:space="preserve">. soutěže) – kartelové dohody (o cenách, rozdělení trhu …), dohody o sloučení podniků (podíl &gt; 30 % trhu – dominantní postavení), zneužití monopolního nebo domin. </w:t>
      </w:r>
      <w:proofErr w:type="gramStart"/>
      <w:r>
        <w:t>postavení</w:t>
      </w:r>
      <w:proofErr w:type="gramEnd"/>
    </w:p>
    <w:p w:rsidR="00162C98" w:rsidRDefault="00162C98" w:rsidP="00162C98">
      <w:r>
        <w:t xml:space="preserve">Zasahuje </w:t>
      </w:r>
      <w:r w:rsidRPr="001A4DED">
        <w:rPr>
          <w:b/>
        </w:rPr>
        <w:t xml:space="preserve">Úřad pro </w:t>
      </w:r>
      <w:proofErr w:type="spellStart"/>
      <w:r w:rsidRPr="001A4DED">
        <w:rPr>
          <w:b/>
        </w:rPr>
        <w:t>hosp</w:t>
      </w:r>
      <w:proofErr w:type="spellEnd"/>
      <w:r w:rsidRPr="001A4DED">
        <w:rPr>
          <w:b/>
        </w:rPr>
        <w:t>. soutěž</w:t>
      </w:r>
    </w:p>
    <w:p w:rsidR="00162C98" w:rsidRDefault="00162C98" w:rsidP="00162C98"/>
    <w:p w:rsidR="00162C98" w:rsidRDefault="00162C98" w:rsidP="00162C98">
      <w:pPr>
        <w:pStyle w:val="Nadpis2"/>
      </w:pPr>
      <w:r>
        <w:t>Konkurence</w:t>
      </w:r>
    </w:p>
    <w:p w:rsidR="00162C98" w:rsidRDefault="00162C98" w:rsidP="00162C98">
      <w:r>
        <w:t>Na trhu se střetávají zájmy kupujících a prodávajících -&gt; rozlišujeme konkurence mezi nabídkou a poptávkou, dále konkurenci na straně poptávky a na straně nabídky</w:t>
      </w:r>
    </w:p>
    <w:p w:rsidR="00162C98" w:rsidRPr="009C479B" w:rsidRDefault="00162C98" w:rsidP="00162C98">
      <w:pPr>
        <w:pStyle w:val="Nadpis3"/>
        <w:rPr>
          <w:b/>
        </w:rPr>
      </w:pPr>
      <w:r w:rsidRPr="009C479B">
        <w:rPr>
          <w:b/>
        </w:rPr>
        <w:t>Konkurence mezi nabídkou a poptávkou (viz cena)</w:t>
      </w:r>
    </w:p>
    <w:p w:rsidR="00162C98" w:rsidRDefault="00162C98" w:rsidP="00162C98">
      <w:r>
        <w:t>Rovnovážná cena není optimální pro výrobce (považují ji za nízkou) ani pro spotřebitele (považují ji za vysokou). Je to cena kompromisu, která vyrovnává objem nabízeného zboží s objemem poptávky.</w:t>
      </w:r>
    </w:p>
    <w:p w:rsidR="00162C98" w:rsidRPr="009C479B" w:rsidRDefault="00162C98" w:rsidP="00162C98">
      <w:pPr>
        <w:pStyle w:val="Nadpis3"/>
        <w:rPr>
          <w:b/>
        </w:rPr>
      </w:pPr>
      <w:r w:rsidRPr="009C479B">
        <w:rPr>
          <w:b/>
        </w:rPr>
        <w:t>Konkurence na straně poptávky</w:t>
      </w:r>
    </w:p>
    <w:p w:rsidR="00162C98" w:rsidRPr="000B7C42" w:rsidRDefault="00162C98" w:rsidP="00162C98">
      <w:r>
        <w:t>Nastává při nedostatku zboží na trhu (poptávka &gt; nabídka). Spotřebitel se snaží, aby právě on získal nedostatkové zboží (což vede ke zvyšování ceny).</w:t>
      </w:r>
    </w:p>
    <w:p w:rsidR="00162C98" w:rsidRPr="009C479B" w:rsidRDefault="00162C98" w:rsidP="00162C98">
      <w:pPr>
        <w:pStyle w:val="Nadpis3"/>
        <w:rPr>
          <w:b/>
        </w:rPr>
      </w:pPr>
      <w:r w:rsidRPr="009C479B">
        <w:rPr>
          <w:b/>
        </w:rPr>
        <w:lastRenderedPageBreak/>
        <w:t xml:space="preserve">Konkurence na straně nabídky </w:t>
      </w:r>
    </w:p>
    <w:p w:rsidR="00162C98" w:rsidRDefault="00162C98" w:rsidP="00162C98">
      <w:r>
        <w:t>Výrobce se snaží o svůj maximální zisk a zároveň o oslabení pozic svých konkurentů.</w:t>
      </w:r>
    </w:p>
    <w:p w:rsidR="00162C98" w:rsidRDefault="00162C98" w:rsidP="00162C98">
      <w:r>
        <w:t xml:space="preserve">Když: </w:t>
      </w:r>
      <w:r>
        <w:tab/>
      </w:r>
      <w:r w:rsidRPr="00AD2B39">
        <w:rPr>
          <w:u w:val="wave"/>
        </w:rPr>
        <w:t>nabídka &gt; poptávka</w:t>
      </w:r>
      <w:r>
        <w:t xml:space="preserve"> -&gt; boj o přežití: ceny klesají a výrobci prodělávají – někteří přežijí a někteří zbankrotují</w:t>
      </w:r>
    </w:p>
    <w:p w:rsidR="00162C98" w:rsidRDefault="00162C98" w:rsidP="00162C98">
      <w:r>
        <w:tab/>
      </w:r>
      <w:r w:rsidRPr="00AD2B39">
        <w:rPr>
          <w:u w:val="wave"/>
        </w:rPr>
        <w:t>nabídka &lt; poptávka</w:t>
      </w:r>
      <w:r>
        <w:t xml:space="preserve"> -&gt; otázka, kdo dokáže lépe využít růstu cen, vydělá více a pak může ovládnout větší část trhu</w:t>
      </w:r>
    </w:p>
    <w:p w:rsidR="00162C98" w:rsidRDefault="00162C98" w:rsidP="00162C98">
      <w:r>
        <w:t xml:space="preserve">Boj na straně nabídky je veden cenami -&gt; </w:t>
      </w:r>
      <w:r w:rsidRPr="00AD2B39">
        <w:rPr>
          <w:b/>
          <w:color w:val="365F91" w:themeColor="accent1" w:themeShade="BF"/>
          <w:sz w:val="24"/>
          <w:szCs w:val="24"/>
          <w:u w:val="single"/>
        </w:rPr>
        <w:t>CENOVÁ KONKURENCE</w:t>
      </w:r>
      <w:r>
        <w:t xml:space="preserve"> </w:t>
      </w:r>
    </w:p>
    <w:p w:rsidR="00162C98" w:rsidRDefault="00162C98" w:rsidP="00162C98">
      <w:r>
        <w:t xml:space="preserve">nebo jinak -&gt; </w:t>
      </w:r>
      <w:r>
        <w:tab/>
      </w:r>
      <w:r w:rsidRPr="00AD2B39">
        <w:rPr>
          <w:b/>
          <w:color w:val="365F91" w:themeColor="accent1" w:themeShade="BF"/>
          <w:sz w:val="24"/>
          <w:szCs w:val="24"/>
          <w:u w:val="single"/>
        </w:rPr>
        <w:t>NECENOVÁ KONKURENCE</w:t>
      </w:r>
      <w:r>
        <w:t xml:space="preserve"> (kvalitou zboží, reklamou, obalem, slevou, službami spojenými s prodejem – úvěr, prodejní doba, záruční lhůta …) </w:t>
      </w:r>
    </w:p>
    <w:p w:rsidR="00162C98" w:rsidRDefault="00162C98" w:rsidP="00162C98">
      <w:pPr>
        <w:pStyle w:val="Odstavecseseznamem"/>
        <w:numPr>
          <w:ilvl w:val="0"/>
          <w:numId w:val="16"/>
        </w:numPr>
      </w:pPr>
      <w:r>
        <w:t>pozitiva konkurence: růst kvality</w:t>
      </w:r>
    </w:p>
    <w:p w:rsidR="00162C98" w:rsidRDefault="00162C98" w:rsidP="00162C98">
      <w:pPr>
        <w:pStyle w:val="Odstavecseseznamem"/>
        <w:numPr>
          <w:ilvl w:val="0"/>
          <w:numId w:val="16"/>
        </w:numPr>
      </w:pPr>
      <w:r>
        <w:t xml:space="preserve">negativa: plýtvání na reklamu, nucení k nákupu neužitečných výrobků, ekolog. </w:t>
      </w:r>
      <w:proofErr w:type="gramStart"/>
      <w:r>
        <w:t>zatěžování</w:t>
      </w:r>
      <w:proofErr w:type="gramEnd"/>
      <w:r>
        <w:t xml:space="preserve"> </w:t>
      </w:r>
      <w:proofErr w:type="spellStart"/>
      <w:r>
        <w:t>souč</w:t>
      </w:r>
      <w:proofErr w:type="spellEnd"/>
      <w:r>
        <w:t>. i bud. generací</w:t>
      </w:r>
    </w:p>
    <w:p w:rsidR="00162C98" w:rsidRDefault="00162C98" w:rsidP="00162C98">
      <w:pPr>
        <w:pStyle w:val="Nadpis3"/>
      </w:pPr>
      <w:r w:rsidRPr="0072703A">
        <w:t>Formy konkurence</w:t>
      </w:r>
    </w:p>
    <w:p w:rsidR="00162C98" w:rsidRDefault="00162C98" w:rsidP="00162C98">
      <w:r w:rsidRPr="00C51B98">
        <w:rPr>
          <w:b/>
        </w:rPr>
        <w:t>DOKONALÁ</w:t>
      </w:r>
      <w:r>
        <w:t xml:space="preserve"> – reálně neexistuje; naprosto rovné podmínky pro všechny účastníky, volný vstup do odvětví, homogenní výrobek (</w:t>
      </w:r>
      <w:proofErr w:type="spellStart"/>
      <w:r>
        <w:t>bezrozdílný</w:t>
      </w:r>
      <w:proofErr w:type="spellEnd"/>
      <w:r>
        <w:t xml:space="preserve">), výrobce anonymní – nemůže ovlivnit cenu, pouze se snažit snižovat své náklady; nejvíce se jí podobá trh některých zem. </w:t>
      </w:r>
      <w:proofErr w:type="gramStart"/>
      <w:r>
        <w:t>plodin</w:t>
      </w:r>
      <w:proofErr w:type="gramEnd"/>
      <w:r>
        <w:t xml:space="preserve"> (např. pšenice)</w:t>
      </w:r>
    </w:p>
    <w:p w:rsidR="00162C98" w:rsidRDefault="00162C98" w:rsidP="00162C98">
      <w:r w:rsidRPr="00C51B98">
        <w:rPr>
          <w:b/>
        </w:rPr>
        <w:t xml:space="preserve">NEDOKONALÁ </w:t>
      </w:r>
      <w:r>
        <w:rPr>
          <w:b/>
        </w:rPr>
        <w:tab/>
        <w:t>- m</w:t>
      </w:r>
      <w:r w:rsidRPr="00C51B98">
        <w:rPr>
          <w:b/>
        </w:rPr>
        <w:t>onopolní</w:t>
      </w:r>
      <w:r>
        <w:t xml:space="preserve"> (velká skupina) – mizí anonymita, produkt je diferencovaný (odlišný v balení, vůni, určení …) a i ceny se mohou lišit, boj o zákazníka cenový a hlavně necenový; podobá se dok. </w:t>
      </w:r>
      <w:proofErr w:type="spellStart"/>
      <w:r>
        <w:t>konk</w:t>
      </w:r>
      <w:proofErr w:type="spellEnd"/>
      <w:r>
        <w:t>. nejvíce</w:t>
      </w:r>
    </w:p>
    <w:p w:rsidR="00162C98" w:rsidRPr="00C51B98" w:rsidRDefault="00162C98" w:rsidP="00162C98">
      <w:pPr>
        <w:ind w:left="708" w:firstLine="708"/>
      </w:pPr>
      <w:r>
        <w:rPr>
          <w:b/>
        </w:rPr>
        <w:t>- o</w:t>
      </w:r>
      <w:r w:rsidRPr="00C51B98">
        <w:rPr>
          <w:b/>
        </w:rPr>
        <w:t>ligopol</w:t>
      </w:r>
      <w:r>
        <w:rPr>
          <w:b/>
        </w:rPr>
        <w:t xml:space="preserve"> </w:t>
      </w:r>
      <w:r w:rsidRPr="00C51B98">
        <w:t>(malá skupina)</w:t>
      </w:r>
      <w:r>
        <w:t xml:space="preserve"> – více nedokonalá, výrobci mají značnou </w:t>
      </w:r>
      <w:proofErr w:type="spellStart"/>
      <w:r>
        <w:t>ek</w:t>
      </w:r>
      <w:proofErr w:type="spellEnd"/>
      <w:r>
        <w:t>. sílu a vyšší ceny, které značně ovlivňují; protože je jich málo, mohou omezovat nabídku a nutit spotřebitele platit vyšší ceny, snaží se bránit vstupu jiných výrobců do odvětví, konkurence omezená - hlavně necenová</w:t>
      </w:r>
    </w:p>
    <w:p w:rsidR="00162C98" w:rsidRDefault="00162C98" w:rsidP="00162C98">
      <w:pPr>
        <w:ind w:left="708" w:firstLine="708"/>
      </w:pPr>
      <w:r>
        <w:rPr>
          <w:b/>
        </w:rPr>
        <w:t>- a</w:t>
      </w:r>
      <w:r w:rsidRPr="00C51B98">
        <w:rPr>
          <w:b/>
        </w:rPr>
        <w:t>bsolutní monopo</w:t>
      </w:r>
      <w:r>
        <w:rPr>
          <w:b/>
        </w:rPr>
        <w:t xml:space="preserve">l – </w:t>
      </w:r>
      <w:r w:rsidRPr="002E6D01">
        <w:t>jediný výrobce</w:t>
      </w:r>
      <w:r>
        <w:t xml:space="preserve"> určitého výrobku, který má </w:t>
      </w:r>
      <w:proofErr w:type="spellStart"/>
      <w:r>
        <w:t>absol</w:t>
      </w:r>
      <w:proofErr w:type="spellEnd"/>
      <w:r>
        <w:t>. moc nad spotřebitelem, diktuje ceny; neexistence konkurence musí být nahrazena státní regulací.</w:t>
      </w:r>
    </w:p>
    <w:tbl>
      <w:tblPr>
        <w:tblStyle w:val="Mkatabulky"/>
        <w:tblW w:w="0" w:type="auto"/>
        <w:tblInd w:w="708" w:type="dxa"/>
        <w:tblLook w:val="04A0" w:firstRow="1" w:lastRow="0" w:firstColumn="1" w:lastColumn="0" w:noHBand="0" w:noVBand="1"/>
      </w:tblPr>
      <w:tblGrid>
        <w:gridCol w:w="1700"/>
        <w:gridCol w:w="1700"/>
        <w:gridCol w:w="1701"/>
        <w:gridCol w:w="1702"/>
        <w:gridCol w:w="1702"/>
      </w:tblGrid>
      <w:tr w:rsidR="00162C98" w:rsidTr="00AE7F34">
        <w:trPr>
          <w:trHeight w:val="454"/>
        </w:trPr>
        <w:tc>
          <w:tcPr>
            <w:tcW w:w="8505" w:type="dxa"/>
            <w:gridSpan w:val="5"/>
            <w:vAlign w:val="center"/>
          </w:tcPr>
          <w:p w:rsidR="00162C98" w:rsidRDefault="00162C98" w:rsidP="00AE7F34">
            <w:pPr>
              <w:jc w:val="center"/>
              <w:rPr>
                <w:b/>
              </w:rPr>
            </w:pPr>
            <w:r>
              <w:rPr>
                <w:b/>
              </w:rPr>
              <w:t>Kritéria pro porovnání jednotlivých forem konkurence</w:t>
            </w:r>
          </w:p>
        </w:tc>
      </w:tr>
      <w:tr w:rsidR="00162C98" w:rsidTr="00AE7F34">
        <w:trPr>
          <w:trHeight w:val="535"/>
        </w:trPr>
        <w:tc>
          <w:tcPr>
            <w:tcW w:w="1700" w:type="dxa"/>
            <w:shd w:val="clear" w:color="auto" w:fill="FFFF00"/>
            <w:vAlign w:val="center"/>
          </w:tcPr>
          <w:p w:rsidR="00162C98" w:rsidRDefault="00162C98" w:rsidP="00AE7F34">
            <w:pPr>
              <w:jc w:val="center"/>
              <w:rPr>
                <w:b/>
              </w:rPr>
            </w:pPr>
            <w:r>
              <w:rPr>
                <w:b/>
              </w:rPr>
              <w:t>Kritérium</w:t>
            </w:r>
          </w:p>
        </w:tc>
        <w:tc>
          <w:tcPr>
            <w:tcW w:w="1700" w:type="dxa"/>
            <w:shd w:val="clear" w:color="auto" w:fill="92D050"/>
            <w:vAlign w:val="center"/>
          </w:tcPr>
          <w:p w:rsidR="00162C98" w:rsidRDefault="00162C98" w:rsidP="00AE7F34">
            <w:pPr>
              <w:jc w:val="center"/>
              <w:rPr>
                <w:b/>
              </w:rPr>
            </w:pPr>
            <w:r>
              <w:rPr>
                <w:b/>
              </w:rPr>
              <w:t>Dokonalá konkurence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162C98" w:rsidRDefault="00162C98" w:rsidP="00AE7F34">
            <w:pPr>
              <w:jc w:val="center"/>
              <w:rPr>
                <w:b/>
              </w:rPr>
            </w:pPr>
            <w:r>
              <w:rPr>
                <w:b/>
              </w:rPr>
              <w:t>Monopolní konkurence</w:t>
            </w:r>
          </w:p>
        </w:tc>
        <w:tc>
          <w:tcPr>
            <w:tcW w:w="1702" w:type="dxa"/>
            <w:shd w:val="clear" w:color="auto" w:fill="92D050"/>
            <w:vAlign w:val="center"/>
          </w:tcPr>
          <w:p w:rsidR="00162C98" w:rsidRDefault="00162C98" w:rsidP="00AE7F34">
            <w:pPr>
              <w:jc w:val="center"/>
              <w:rPr>
                <w:b/>
              </w:rPr>
            </w:pPr>
            <w:r>
              <w:rPr>
                <w:b/>
              </w:rPr>
              <w:t>Oligopol</w:t>
            </w:r>
          </w:p>
        </w:tc>
        <w:tc>
          <w:tcPr>
            <w:tcW w:w="1702" w:type="dxa"/>
            <w:shd w:val="clear" w:color="auto" w:fill="92D050"/>
            <w:vAlign w:val="center"/>
          </w:tcPr>
          <w:p w:rsidR="00162C98" w:rsidRDefault="00162C98" w:rsidP="00AE7F34">
            <w:pPr>
              <w:jc w:val="center"/>
              <w:rPr>
                <w:b/>
              </w:rPr>
            </w:pPr>
            <w:r>
              <w:rPr>
                <w:b/>
              </w:rPr>
              <w:t>Absolutní monopol</w:t>
            </w:r>
          </w:p>
        </w:tc>
      </w:tr>
      <w:tr w:rsidR="00162C98" w:rsidTr="00AE7F34">
        <w:trPr>
          <w:trHeight w:val="505"/>
        </w:trPr>
        <w:tc>
          <w:tcPr>
            <w:tcW w:w="1700" w:type="dxa"/>
            <w:shd w:val="clear" w:color="auto" w:fill="FFFF00"/>
            <w:vAlign w:val="center"/>
          </w:tcPr>
          <w:p w:rsidR="00162C98" w:rsidRDefault="00162C98" w:rsidP="00AE7F34">
            <w:pPr>
              <w:jc w:val="center"/>
              <w:rPr>
                <w:b/>
              </w:rPr>
            </w:pPr>
            <w:r>
              <w:rPr>
                <w:b/>
              </w:rPr>
              <w:t>Počet firem</w:t>
            </w:r>
          </w:p>
        </w:tc>
        <w:tc>
          <w:tcPr>
            <w:tcW w:w="1700" w:type="dxa"/>
            <w:vAlign w:val="center"/>
          </w:tcPr>
          <w:p w:rsidR="00162C98" w:rsidRPr="00342D77" w:rsidRDefault="00162C98" w:rsidP="00AE7F34">
            <w:pPr>
              <w:jc w:val="center"/>
            </w:pPr>
            <w:r>
              <w:t>velmi</w:t>
            </w:r>
            <w:r w:rsidRPr="00342D77">
              <w:t xml:space="preserve"> mnoho</w:t>
            </w:r>
          </w:p>
        </w:tc>
        <w:tc>
          <w:tcPr>
            <w:tcW w:w="1701" w:type="dxa"/>
            <w:vAlign w:val="center"/>
          </w:tcPr>
          <w:p w:rsidR="00162C98" w:rsidRPr="00342D77" w:rsidRDefault="00162C98" w:rsidP="00AE7F34">
            <w:pPr>
              <w:jc w:val="center"/>
            </w:pPr>
            <w:r w:rsidRPr="00342D77">
              <w:t>mnoho</w:t>
            </w:r>
          </w:p>
        </w:tc>
        <w:tc>
          <w:tcPr>
            <w:tcW w:w="1702" w:type="dxa"/>
            <w:vAlign w:val="center"/>
          </w:tcPr>
          <w:p w:rsidR="00162C98" w:rsidRPr="00342D77" w:rsidRDefault="00162C98" w:rsidP="00AE7F34">
            <w:pPr>
              <w:jc w:val="center"/>
            </w:pPr>
            <w:r w:rsidRPr="00342D77">
              <w:t>málo</w:t>
            </w:r>
          </w:p>
        </w:tc>
        <w:tc>
          <w:tcPr>
            <w:tcW w:w="1702" w:type="dxa"/>
            <w:vAlign w:val="center"/>
          </w:tcPr>
          <w:p w:rsidR="00162C98" w:rsidRPr="00342D77" w:rsidRDefault="00162C98" w:rsidP="00AE7F34">
            <w:pPr>
              <w:jc w:val="center"/>
            </w:pPr>
            <w:r>
              <w:t>jedna</w:t>
            </w:r>
          </w:p>
        </w:tc>
      </w:tr>
      <w:tr w:rsidR="00162C98" w:rsidTr="00AE7F34">
        <w:trPr>
          <w:trHeight w:val="535"/>
        </w:trPr>
        <w:tc>
          <w:tcPr>
            <w:tcW w:w="1700" w:type="dxa"/>
            <w:shd w:val="clear" w:color="auto" w:fill="FFFF00"/>
            <w:vAlign w:val="center"/>
          </w:tcPr>
          <w:p w:rsidR="00162C98" w:rsidRDefault="00162C98" w:rsidP="00AE7F34">
            <w:pPr>
              <w:jc w:val="center"/>
              <w:rPr>
                <w:b/>
              </w:rPr>
            </w:pPr>
            <w:r>
              <w:rPr>
                <w:b/>
              </w:rPr>
              <w:t>Produkt</w:t>
            </w:r>
          </w:p>
        </w:tc>
        <w:tc>
          <w:tcPr>
            <w:tcW w:w="1700" w:type="dxa"/>
            <w:vAlign w:val="center"/>
          </w:tcPr>
          <w:p w:rsidR="00162C98" w:rsidRPr="00342D77" w:rsidRDefault="00162C98" w:rsidP="00AE7F34">
            <w:pPr>
              <w:jc w:val="center"/>
            </w:pPr>
            <w:r w:rsidRPr="00342D77">
              <w:t>homogenní</w:t>
            </w:r>
          </w:p>
        </w:tc>
        <w:tc>
          <w:tcPr>
            <w:tcW w:w="1701" w:type="dxa"/>
            <w:vAlign w:val="center"/>
          </w:tcPr>
          <w:p w:rsidR="00162C98" w:rsidRPr="00342D77" w:rsidRDefault="00162C98" w:rsidP="00AE7F34">
            <w:pPr>
              <w:jc w:val="center"/>
            </w:pPr>
            <w:r w:rsidRPr="00342D77">
              <w:t>diferencovaný</w:t>
            </w:r>
          </w:p>
        </w:tc>
        <w:tc>
          <w:tcPr>
            <w:tcW w:w="1702" w:type="dxa"/>
            <w:vAlign w:val="center"/>
          </w:tcPr>
          <w:p w:rsidR="00162C98" w:rsidRPr="00342D77" w:rsidRDefault="00162C98" w:rsidP="00AE7F34">
            <w:pPr>
              <w:jc w:val="center"/>
            </w:pPr>
            <w:r w:rsidRPr="00342D77">
              <w:t>diferencovaný</w:t>
            </w:r>
          </w:p>
        </w:tc>
        <w:tc>
          <w:tcPr>
            <w:tcW w:w="1702" w:type="dxa"/>
            <w:vAlign w:val="center"/>
          </w:tcPr>
          <w:p w:rsidR="00162C98" w:rsidRPr="00342D77" w:rsidRDefault="00162C98" w:rsidP="00AE7F34">
            <w:pPr>
              <w:jc w:val="center"/>
            </w:pPr>
            <w:r>
              <w:t>jedinečný</w:t>
            </w:r>
          </w:p>
        </w:tc>
      </w:tr>
      <w:tr w:rsidR="00162C98" w:rsidTr="00AE7F34">
        <w:trPr>
          <w:trHeight w:val="535"/>
        </w:trPr>
        <w:tc>
          <w:tcPr>
            <w:tcW w:w="1700" w:type="dxa"/>
            <w:shd w:val="clear" w:color="auto" w:fill="FFFF00"/>
            <w:vAlign w:val="center"/>
          </w:tcPr>
          <w:p w:rsidR="00162C98" w:rsidRDefault="00162C98" w:rsidP="00AE7F34">
            <w:pPr>
              <w:jc w:val="center"/>
              <w:rPr>
                <w:b/>
              </w:rPr>
            </w:pPr>
            <w:r>
              <w:rPr>
                <w:b/>
              </w:rPr>
              <w:t>Bariéry vstupu</w:t>
            </w:r>
          </w:p>
        </w:tc>
        <w:tc>
          <w:tcPr>
            <w:tcW w:w="1700" w:type="dxa"/>
            <w:vAlign w:val="center"/>
          </w:tcPr>
          <w:p w:rsidR="00162C98" w:rsidRPr="00342D77" w:rsidRDefault="00162C98" w:rsidP="00AE7F34">
            <w:pPr>
              <w:jc w:val="center"/>
            </w:pPr>
            <w:r w:rsidRPr="00342D77">
              <w:t>žádné</w:t>
            </w:r>
          </w:p>
        </w:tc>
        <w:tc>
          <w:tcPr>
            <w:tcW w:w="1701" w:type="dxa"/>
            <w:vAlign w:val="center"/>
          </w:tcPr>
          <w:p w:rsidR="00162C98" w:rsidRPr="00342D77" w:rsidRDefault="00162C98" w:rsidP="00AE7F34">
            <w:pPr>
              <w:jc w:val="center"/>
            </w:pPr>
            <w:r w:rsidRPr="00342D77">
              <w:t>žádné</w:t>
            </w:r>
          </w:p>
        </w:tc>
        <w:tc>
          <w:tcPr>
            <w:tcW w:w="1702" w:type="dxa"/>
            <w:vAlign w:val="center"/>
          </w:tcPr>
          <w:p w:rsidR="00162C98" w:rsidRPr="00342D77" w:rsidRDefault="00162C98" w:rsidP="00AE7F34">
            <w:pPr>
              <w:jc w:val="center"/>
            </w:pPr>
            <w:r w:rsidRPr="00342D77">
              <w:t>určité</w:t>
            </w:r>
          </w:p>
        </w:tc>
        <w:tc>
          <w:tcPr>
            <w:tcW w:w="1702" w:type="dxa"/>
            <w:vAlign w:val="center"/>
          </w:tcPr>
          <w:p w:rsidR="00162C98" w:rsidRPr="00342D77" w:rsidRDefault="00162C98" w:rsidP="00AE7F34">
            <w:pPr>
              <w:jc w:val="center"/>
            </w:pPr>
            <w:r>
              <w:t>velké</w:t>
            </w:r>
          </w:p>
        </w:tc>
      </w:tr>
      <w:tr w:rsidR="00162C98" w:rsidTr="00AE7F34">
        <w:trPr>
          <w:trHeight w:val="535"/>
        </w:trPr>
        <w:tc>
          <w:tcPr>
            <w:tcW w:w="1700" w:type="dxa"/>
            <w:shd w:val="clear" w:color="auto" w:fill="FFFF00"/>
            <w:vAlign w:val="center"/>
          </w:tcPr>
          <w:p w:rsidR="00162C98" w:rsidRDefault="00162C98" w:rsidP="00AE7F34">
            <w:pPr>
              <w:jc w:val="center"/>
              <w:rPr>
                <w:b/>
              </w:rPr>
            </w:pPr>
            <w:r>
              <w:rPr>
                <w:b/>
              </w:rPr>
              <w:t>Možnost ovlivnit ceny</w:t>
            </w:r>
          </w:p>
        </w:tc>
        <w:tc>
          <w:tcPr>
            <w:tcW w:w="1700" w:type="dxa"/>
            <w:vAlign w:val="center"/>
          </w:tcPr>
          <w:p w:rsidR="00162C98" w:rsidRPr="00342D77" w:rsidRDefault="00162C98" w:rsidP="00AE7F34">
            <w:pPr>
              <w:jc w:val="center"/>
            </w:pPr>
            <w:r w:rsidRPr="00342D77">
              <w:t>žádná</w:t>
            </w:r>
          </w:p>
        </w:tc>
        <w:tc>
          <w:tcPr>
            <w:tcW w:w="1701" w:type="dxa"/>
            <w:vAlign w:val="center"/>
          </w:tcPr>
          <w:p w:rsidR="00162C98" w:rsidRPr="00342D77" w:rsidRDefault="00162C98" w:rsidP="00AE7F34">
            <w:pPr>
              <w:jc w:val="center"/>
            </w:pPr>
            <w:r w:rsidRPr="00342D77">
              <w:t>omezená</w:t>
            </w:r>
          </w:p>
        </w:tc>
        <w:tc>
          <w:tcPr>
            <w:tcW w:w="1702" w:type="dxa"/>
            <w:vAlign w:val="center"/>
          </w:tcPr>
          <w:p w:rsidR="00162C98" w:rsidRPr="00342D77" w:rsidRDefault="00162C98" w:rsidP="00AE7F34">
            <w:pPr>
              <w:jc w:val="center"/>
            </w:pPr>
            <w:r w:rsidRPr="00342D77">
              <w:t>značná</w:t>
            </w:r>
          </w:p>
        </w:tc>
        <w:tc>
          <w:tcPr>
            <w:tcW w:w="1702" w:type="dxa"/>
            <w:vAlign w:val="center"/>
          </w:tcPr>
          <w:p w:rsidR="00162C98" w:rsidRPr="00342D77" w:rsidRDefault="00162C98" w:rsidP="00AE7F34">
            <w:pPr>
              <w:jc w:val="center"/>
            </w:pPr>
            <w:r w:rsidRPr="00342D77">
              <w:t>výrazná</w:t>
            </w:r>
          </w:p>
        </w:tc>
      </w:tr>
    </w:tbl>
    <w:p w:rsidR="00162C98" w:rsidRDefault="00162C98" w:rsidP="00162C98">
      <w:pPr>
        <w:ind w:left="708" w:firstLine="708"/>
        <w:rPr>
          <w:b/>
        </w:rPr>
      </w:pPr>
    </w:p>
    <w:p w:rsidR="00162C98" w:rsidRDefault="00162C98" w:rsidP="00162C98">
      <w:pPr>
        <w:spacing w:after="0"/>
      </w:pPr>
    </w:p>
    <w:p w:rsidR="00162C98" w:rsidRDefault="00162C98" w:rsidP="00162C98">
      <w:pPr>
        <w:spacing w:after="0"/>
      </w:pPr>
    </w:p>
    <w:p w:rsidR="00162C98" w:rsidRDefault="00162C98" w:rsidP="00162C98">
      <w:pPr>
        <w:spacing w:after="0"/>
      </w:pPr>
    </w:p>
    <w:p w:rsidR="00162C98" w:rsidRDefault="00162C98" w:rsidP="00162C98">
      <w:pPr>
        <w:spacing w:after="0"/>
      </w:pPr>
    </w:p>
    <w:p w:rsidR="00162C98" w:rsidRDefault="00162C98" w:rsidP="00162C98">
      <w:pPr>
        <w:spacing w:after="0"/>
      </w:pPr>
    </w:p>
    <w:p w:rsidR="00162C98" w:rsidRPr="00352713" w:rsidRDefault="00162C98" w:rsidP="00162C98">
      <w:pPr>
        <w:spacing w:after="0"/>
        <w:rPr>
          <w:i/>
        </w:rPr>
      </w:pPr>
      <w:r w:rsidRPr="00352713">
        <w:rPr>
          <w:i/>
        </w:rPr>
        <w:t>Použité zdroje:</w:t>
      </w:r>
    </w:p>
    <w:p w:rsidR="00162C98" w:rsidRPr="00352713" w:rsidRDefault="00162C98" w:rsidP="00162C98">
      <w:pPr>
        <w:spacing w:after="0"/>
        <w:rPr>
          <w:i/>
        </w:rPr>
      </w:pPr>
    </w:p>
    <w:p w:rsidR="00162C98" w:rsidRPr="00352713" w:rsidRDefault="00162C98" w:rsidP="00162C98">
      <w:pPr>
        <w:spacing w:after="0"/>
        <w:rPr>
          <w:i/>
        </w:rPr>
      </w:pPr>
      <w:r w:rsidRPr="00352713">
        <w:rPr>
          <w:i/>
        </w:rPr>
        <w:t xml:space="preserve">KOČÍ, Jana a Lenka ŠAMŠOVÁ. </w:t>
      </w:r>
      <w:r w:rsidRPr="00352713">
        <w:rPr>
          <w:i/>
          <w:iCs/>
        </w:rPr>
        <w:t>Základy ekonomiky: pro střední a vyšší hotelové školy</w:t>
      </w:r>
      <w:r w:rsidRPr="00352713">
        <w:rPr>
          <w:i/>
        </w:rPr>
        <w:t>. 1. vyd. Praha: Fortuna, 2009, 143 s. ISBN 978-80-7373-059-8.</w:t>
      </w:r>
    </w:p>
    <w:p w:rsidR="001104FE" w:rsidRPr="00162C98" w:rsidRDefault="001104FE" w:rsidP="00162C98"/>
    <w:sectPr w:rsidR="001104FE" w:rsidRPr="00162C98" w:rsidSect="007C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00435"/>
    <w:multiLevelType w:val="hybridMultilevel"/>
    <w:tmpl w:val="6FD6E596"/>
    <w:lvl w:ilvl="0" w:tplc="367E102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25773"/>
    <w:multiLevelType w:val="hybridMultilevel"/>
    <w:tmpl w:val="E388874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8A7732"/>
    <w:multiLevelType w:val="hybridMultilevel"/>
    <w:tmpl w:val="22D24EB0"/>
    <w:lvl w:ilvl="0" w:tplc="40A2FD48">
      <w:start w:val="1"/>
      <w:numFmt w:val="bullet"/>
      <w:lvlText w:val=""/>
      <w:lvlJc w:val="left"/>
      <w:pPr>
        <w:ind w:left="213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>
    <w:nsid w:val="121A2AEA"/>
    <w:multiLevelType w:val="hybridMultilevel"/>
    <w:tmpl w:val="5030C5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FB0891"/>
    <w:multiLevelType w:val="hybridMultilevel"/>
    <w:tmpl w:val="9F6A4A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807BFF"/>
    <w:multiLevelType w:val="hybridMultilevel"/>
    <w:tmpl w:val="6030B0AC"/>
    <w:lvl w:ilvl="0" w:tplc="0405000F">
      <w:start w:val="1"/>
      <w:numFmt w:val="decimal"/>
      <w:lvlText w:val="%1."/>
      <w:lvlJc w:val="left"/>
      <w:pPr>
        <w:ind w:left="1426" w:hanging="360"/>
      </w:pPr>
    </w:lvl>
    <w:lvl w:ilvl="1" w:tplc="04050019" w:tentative="1">
      <w:start w:val="1"/>
      <w:numFmt w:val="lowerLetter"/>
      <w:lvlText w:val="%2."/>
      <w:lvlJc w:val="left"/>
      <w:pPr>
        <w:ind w:left="2146" w:hanging="360"/>
      </w:pPr>
    </w:lvl>
    <w:lvl w:ilvl="2" w:tplc="0405001B" w:tentative="1">
      <w:start w:val="1"/>
      <w:numFmt w:val="lowerRoman"/>
      <w:lvlText w:val="%3."/>
      <w:lvlJc w:val="right"/>
      <w:pPr>
        <w:ind w:left="2866" w:hanging="180"/>
      </w:pPr>
    </w:lvl>
    <w:lvl w:ilvl="3" w:tplc="0405000F" w:tentative="1">
      <w:start w:val="1"/>
      <w:numFmt w:val="decimal"/>
      <w:lvlText w:val="%4."/>
      <w:lvlJc w:val="left"/>
      <w:pPr>
        <w:ind w:left="3586" w:hanging="360"/>
      </w:pPr>
    </w:lvl>
    <w:lvl w:ilvl="4" w:tplc="04050019" w:tentative="1">
      <w:start w:val="1"/>
      <w:numFmt w:val="lowerLetter"/>
      <w:lvlText w:val="%5."/>
      <w:lvlJc w:val="left"/>
      <w:pPr>
        <w:ind w:left="4306" w:hanging="360"/>
      </w:pPr>
    </w:lvl>
    <w:lvl w:ilvl="5" w:tplc="0405001B" w:tentative="1">
      <w:start w:val="1"/>
      <w:numFmt w:val="lowerRoman"/>
      <w:lvlText w:val="%6."/>
      <w:lvlJc w:val="right"/>
      <w:pPr>
        <w:ind w:left="5026" w:hanging="180"/>
      </w:pPr>
    </w:lvl>
    <w:lvl w:ilvl="6" w:tplc="0405000F" w:tentative="1">
      <w:start w:val="1"/>
      <w:numFmt w:val="decimal"/>
      <w:lvlText w:val="%7."/>
      <w:lvlJc w:val="left"/>
      <w:pPr>
        <w:ind w:left="5746" w:hanging="360"/>
      </w:pPr>
    </w:lvl>
    <w:lvl w:ilvl="7" w:tplc="04050019" w:tentative="1">
      <w:start w:val="1"/>
      <w:numFmt w:val="lowerLetter"/>
      <w:lvlText w:val="%8."/>
      <w:lvlJc w:val="left"/>
      <w:pPr>
        <w:ind w:left="6466" w:hanging="360"/>
      </w:pPr>
    </w:lvl>
    <w:lvl w:ilvl="8" w:tplc="040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6">
    <w:nsid w:val="44DC755B"/>
    <w:multiLevelType w:val="hybridMultilevel"/>
    <w:tmpl w:val="0A76B61E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65E4A99"/>
    <w:multiLevelType w:val="hybridMultilevel"/>
    <w:tmpl w:val="E4FE8A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C83943"/>
    <w:multiLevelType w:val="hybridMultilevel"/>
    <w:tmpl w:val="DF905B6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9325F3"/>
    <w:multiLevelType w:val="hybridMultilevel"/>
    <w:tmpl w:val="0980B7B8"/>
    <w:lvl w:ilvl="0" w:tplc="C2246368">
      <w:start w:val="1"/>
      <w:numFmt w:val="bullet"/>
      <w:lvlText w:val="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8E2A67"/>
    <w:multiLevelType w:val="hybridMultilevel"/>
    <w:tmpl w:val="B69C18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3D5D42"/>
    <w:multiLevelType w:val="hybridMultilevel"/>
    <w:tmpl w:val="F498F16E"/>
    <w:lvl w:ilvl="0" w:tplc="54C6896C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DD1326"/>
    <w:multiLevelType w:val="hybridMultilevel"/>
    <w:tmpl w:val="9B661A5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FA5132"/>
    <w:multiLevelType w:val="hybridMultilevel"/>
    <w:tmpl w:val="5E6482BE"/>
    <w:lvl w:ilvl="0" w:tplc="0405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7C8E1589"/>
    <w:multiLevelType w:val="hybridMultilevel"/>
    <w:tmpl w:val="AD6A4250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F6B0883"/>
    <w:multiLevelType w:val="hybridMultilevel"/>
    <w:tmpl w:val="91527D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3"/>
  </w:num>
  <w:num w:numId="4">
    <w:abstractNumId w:val="11"/>
  </w:num>
  <w:num w:numId="5">
    <w:abstractNumId w:val="12"/>
  </w:num>
  <w:num w:numId="6">
    <w:abstractNumId w:val="2"/>
  </w:num>
  <w:num w:numId="7">
    <w:abstractNumId w:val="15"/>
  </w:num>
  <w:num w:numId="8">
    <w:abstractNumId w:val="5"/>
  </w:num>
  <w:num w:numId="9">
    <w:abstractNumId w:val="14"/>
  </w:num>
  <w:num w:numId="10">
    <w:abstractNumId w:val="4"/>
  </w:num>
  <w:num w:numId="11">
    <w:abstractNumId w:val="10"/>
  </w:num>
  <w:num w:numId="12">
    <w:abstractNumId w:val="0"/>
  </w:num>
  <w:num w:numId="13">
    <w:abstractNumId w:val="6"/>
  </w:num>
  <w:num w:numId="14">
    <w:abstractNumId w:val="9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713F4"/>
    <w:rsid w:val="000E1AAD"/>
    <w:rsid w:val="001104FE"/>
    <w:rsid w:val="001615DC"/>
    <w:rsid w:val="00162C98"/>
    <w:rsid w:val="001A099C"/>
    <w:rsid w:val="001D17FD"/>
    <w:rsid w:val="00307A1A"/>
    <w:rsid w:val="00381D5B"/>
    <w:rsid w:val="00383E31"/>
    <w:rsid w:val="00405371"/>
    <w:rsid w:val="004B7DFC"/>
    <w:rsid w:val="00585DB0"/>
    <w:rsid w:val="007E5E87"/>
    <w:rsid w:val="00853CC8"/>
    <w:rsid w:val="00865D4F"/>
    <w:rsid w:val="0099249B"/>
    <w:rsid w:val="00A22604"/>
    <w:rsid w:val="00A45468"/>
    <w:rsid w:val="00A96745"/>
    <w:rsid w:val="00BA4DE2"/>
    <w:rsid w:val="00CB5734"/>
    <w:rsid w:val="00D525D1"/>
    <w:rsid w:val="00DC3507"/>
    <w:rsid w:val="00E34DC6"/>
    <w:rsid w:val="00E90F6F"/>
    <w:rsid w:val="00F713F4"/>
    <w:rsid w:val="00FB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30A08D-CEEC-4D40-8D1D-D81BF7091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34DC6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62C9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62C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F713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713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F713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B5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5734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0537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05371"/>
    <w:rPr>
      <w:b/>
      <w:bCs/>
      <w:i/>
      <w:iCs/>
      <w:color w:val="4F81BD" w:themeColor="accent1"/>
    </w:rPr>
  </w:style>
  <w:style w:type="character" w:customStyle="1" w:styleId="Nadpis2Char">
    <w:name w:val="Nadpis 2 Char"/>
    <w:basedOn w:val="Standardnpsmoodstavce"/>
    <w:link w:val="Nadpis2"/>
    <w:uiPriority w:val="9"/>
    <w:rsid w:val="00162C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162C9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Mkatabulky">
    <w:name w:val="Table Grid"/>
    <w:basedOn w:val="Normlntabulka"/>
    <w:uiPriority w:val="59"/>
    <w:rsid w:val="00162C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0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843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Admin</cp:lastModifiedBy>
  <cp:revision>14</cp:revision>
  <dcterms:created xsi:type="dcterms:W3CDTF">2014-04-01T19:56:00Z</dcterms:created>
  <dcterms:modified xsi:type="dcterms:W3CDTF">2014-06-16T20:39:00Z</dcterms:modified>
</cp:coreProperties>
</file>