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3013FA">
        <w:rPr>
          <w:rFonts w:asciiTheme="minorHAnsi" w:eastAsiaTheme="minorEastAsia" w:hAnsi="Calibri" w:cstheme="minorBidi"/>
          <w:color w:val="000000" w:themeColor="text1"/>
          <w:kern w:val="24"/>
        </w:rPr>
        <w:t>VY_12_INOVACE_280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485411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3013FA">
        <w:rPr>
          <w:rFonts w:asciiTheme="minorHAnsi" w:eastAsiaTheme="minorEastAsia" w:hAnsi="Calibri" w:cstheme="minorBidi"/>
          <w:color w:val="000000" w:themeColor="text1"/>
          <w:kern w:val="24"/>
        </w:rPr>
        <w:t>Pohlavně přenosné nemoci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153A">
        <w:rPr>
          <w:rFonts w:asciiTheme="minorHAnsi" w:eastAsiaTheme="minorEastAsia" w:hAnsi="Calibri" w:cstheme="minorBidi"/>
          <w:color w:val="000000" w:themeColor="text1"/>
          <w:kern w:val="24"/>
        </w:rPr>
        <w:t>pohlavně přenosná choroba, aids, hepatitida, syfilis, kapavka, chlamydie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3013FA">
        <w:rPr>
          <w:rFonts w:asciiTheme="minorHAnsi" w:eastAsiaTheme="minorEastAsia" w:hAnsi="Calibri" w:cstheme="minorBidi"/>
          <w:color w:val="000000" w:themeColor="text1"/>
          <w:kern w:val="24"/>
        </w:rPr>
        <w:t>26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65D3A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3013FA">
        <w:rPr>
          <w:sz w:val="32"/>
          <w:szCs w:val="32"/>
        </w:rPr>
        <w:t>pohlavně přenosné nemoci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123C0C" w:rsidP="00A32399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 w:rsidR="00BE58DC">
        <w:t xml:space="preserve"> </w:t>
      </w:r>
      <w:r w:rsidR="003013FA">
        <w:t>Vyber správné tvrzení</w:t>
      </w:r>
      <w:r w:rsidR="00265268">
        <w:t>.</w:t>
      </w:r>
    </w:p>
    <w:p w:rsidR="00C44BCA" w:rsidRDefault="003013FA" w:rsidP="00765F02">
      <w:pPr>
        <w:spacing w:line="276" w:lineRule="auto"/>
        <w:rPr>
          <w:b/>
        </w:rPr>
      </w:pPr>
      <w:r>
        <w:rPr>
          <w:b/>
        </w:rPr>
        <w:t>Pohlavně přenosné choroby jsou</w:t>
      </w:r>
    </w:p>
    <w:p w:rsidR="003013FA" w:rsidRDefault="00765F02" w:rsidP="00765F02">
      <w:pPr>
        <w:pStyle w:val="Odstavecseseznamem"/>
        <w:numPr>
          <w:ilvl w:val="0"/>
          <w:numId w:val="8"/>
        </w:numPr>
        <w:spacing w:line="276" w:lineRule="auto"/>
        <w:contextualSpacing w:val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3842385</wp:posOffset>
            </wp:positionH>
            <wp:positionV relativeFrom="paragraph">
              <wp:posOffset>164465</wp:posOffset>
            </wp:positionV>
            <wp:extent cx="2333625" cy="1752600"/>
            <wp:effectExtent l="19050" t="0" r="9525" b="0"/>
            <wp:wrapNone/>
            <wp:docPr id="3" name="imgPreview" descr="závislost,antibiotika,tablety,lé&amp;ccaron;íva,lékárny,fotolia,zdravotní pé&amp;ccaron;e,léky,narkotika,p&amp;rcaron;edávkování,lé&amp;ccaron;ivé p&amp;rcaron;ípravky,léka&amp;rcaron;ské p&amp;rcaron;edpisy,úleva,nemoci,lé&amp;ccaron;ba,vitamíny,dopl&amp;ncaron;ky,analgetika,léky proti bolesti,prášky proti bole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závislost,antibiotika,tablety,lé&amp;ccaron;íva,lékárny,fotolia,zdravotní pé&amp;ccaron;e,léky,narkotika,p&amp;rcaron;edávkování,lé&amp;ccaron;ivé p&amp;rcaron;ípravky,léka&amp;rcaron;ské p&amp;rcaron;edpisy,úleva,nemoci,lé&amp;ccaron;ba,vitamíny,dopl&amp;ncaron;ky,analgetika,léky proti bolesti,prášky proti bole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2308" b="12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013FA">
        <w:t>nemoci spojené s pohlavím jedince</w:t>
      </w:r>
    </w:p>
    <w:p w:rsidR="003013FA" w:rsidRDefault="003013FA" w:rsidP="00765F02">
      <w:pPr>
        <w:pStyle w:val="Odstavecseseznamem"/>
        <w:numPr>
          <w:ilvl w:val="0"/>
          <w:numId w:val="8"/>
        </w:numPr>
        <w:spacing w:line="276" w:lineRule="auto"/>
        <w:contextualSpacing w:val="0"/>
      </w:pPr>
      <w:r>
        <w:t>nemoci přenášené nějakou formou sexuální aktivity</w:t>
      </w:r>
    </w:p>
    <w:p w:rsidR="003013FA" w:rsidRDefault="003013FA" w:rsidP="00765F02">
      <w:pPr>
        <w:pStyle w:val="Odstavecseseznamem"/>
        <w:numPr>
          <w:ilvl w:val="0"/>
          <w:numId w:val="8"/>
        </w:numPr>
        <w:spacing w:after="120" w:line="276" w:lineRule="auto"/>
        <w:contextualSpacing w:val="0"/>
      </w:pPr>
      <w:r>
        <w:t>nemoci spojené s hormonálními poruchami</w:t>
      </w:r>
    </w:p>
    <w:p w:rsidR="003013FA" w:rsidRPr="00BC69A5" w:rsidRDefault="003013FA" w:rsidP="00765F02">
      <w:pPr>
        <w:spacing w:line="276" w:lineRule="auto"/>
        <w:rPr>
          <w:b/>
        </w:rPr>
      </w:pPr>
      <w:r w:rsidRPr="00BC69A5">
        <w:rPr>
          <w:b/>
        </w:rPr>
        <w:t>Riziko nákazy pohlavně přenosnou nemocí</w:t>
      </w:r>
      <w:r w:rsidR="00BC69A5" w:rsidRPr="00BC69A5">
        <w:rPr>
          <w:b/>
        </w:rPr>
        <w:t xml:space="preserve"> je větší u lidí,</w:t>
      </w:r>
    </w:p>
    <w:p w:rsidR="00BC69A5" w:rsidRDefault="00BC69A5" w:rsidP="00765F02">
      <w:pPr>
        <w:pStyle w:val="Odstavecseseznamem"/>
        <w:numPr>
          <w:ilvl w:val="0"/>
          <w:numId w:val="9"/>
        </w:numPr>
        <w:spacing w:line="276" w:lineRule="auto"/>
        <w:contextualSpacing w:val="0"/>
      </w:pPr>
      <w:r>
        <w:t>kteří se chovají promiskuitně</w:t>
      </w:r>
    </w:p>
    <w:p w:rsidR="00BC69A5" w:rsidRDefault="00BC69A5" w:rsidP="00765F02">
      <w:pPr>
        <w:pStyle w:val="Odstavecseseznamem"/>
        <w:numPr>
          <w:ilvl w:val="0"/>
          <w:numId w:val="9"/>
        </w:numPr>
        <w:spacing w:line="276" w:lineRule="auto"/>
        <w:contextualSpacing w:val="0"/>
      </w:pPr>
      <w:r>
        <w:t>kteří nepoužívají hormonální antikoncepci</w:t>
      </w:r>
    </w:p>
    <w:p w:rsidR="00B814BE" w:rsidRDefault="00BC69A5" w:rsidP="00765F02">
      <w:pPr>
        <w:pStyle w:val="Odstavecseseznamem"/>
        <w:numPr>
          <w:ilvl w:val="0"/>
          <w:numId w:val="9"/>
        </w:numPr>
        <w:spacing w:after="120" w:line="276" w:lineRule="auto"/>
        <w:contextualSpacing w:val="0"/>
      </w:pPr>
      <w:r>
        <w:t>kteří pravidelně sportují</w:t>
      </w:r>
    </w:p>
    <w:p w:rsidR="00BC69A5" w:rsidRDefault="00BC69A5" w:rsidP="00765F02">
      <w:pPr>
        <w:spacing w:line="276" w:lineRule="auto"/>
        <w:rPr>
          <w:b/>
        </w:rPr>
      </w:pPr>
      <w:r w:rsidRPr="00BC69A5">
        <w:rPr>
          <w:b/>
        </w:rPr>
        <w:t xml:space="preserve">Riziko nákazy pohlavně přenosnou nemocí je </w:t>
      </w:r>
      <w:r>
        <w:rPr>
          <w:b/>
        </w:rPr>
        <w:t>nižší</w:t>
      </w:r>
      <w:r w:rsidRPr="00BC69A5">
        <w:rPr>
          <w:b/>
        </w:rPr>
        <w:t xml:space="preserve"> u lidí,</w:t>
      </w:r>
    </w:p>
    <w:p w:rsidR="00BC69A5" w:rsidRDefault="00BC69A5" w:rsidP="00765F02">
      <w:pPr>
        <w:pStyle w:val="Odstavecseseznamem"/>
        <w:numPr>
          <w:ilvl w:val="0"/>
          <w:numId w:val="10"/>
        </w:numPr>
        <w:spacing w:line="276" w:lineRule="auto"/>
        <w:contextualSpacing w:val="0"/>
      </w:pPr>
      <w:r>
        <w:t>kteří používají kondom</w:t>
      </w:r>
    </w:p>
    <w:p w:rsidR="00BC69A5" w:rsidRDefault="00BC69A5" w:rsidP="00765F02">
      <w:pPr>
        <w:pStyle w:val="Odstavecseseznamem"/>
        <w:numPr>
          <w:ilvl w:val="0"/>
          <w:numId w:val="10"/>
        </w:numPr>
        <w:spacing w:line="276" w:lineRule="auto"/>
        <w:contextualSpacing w:val="0"/>
      </w:pPr>
      <w:r>
        <w:t>kteří používají chemickou antikoncepci</w:t>
      </w:r>
    </w:p>
    <w:p w:rsidR="00BC69A5" w:rsidRPr="00BC69A5" w:rsidRDefault="00BC69A5" w:rsidP="00765F02">
      <w:pPr>
        <w:pStyle w:val="Odstavecseseznamem"/>
        <w:numPr>
          <w:ilvl w:val="0"/>
          <w:numId w:val="10"/>
        </w:numPr>
        <w:spacing w:line="276" w:lineRule="auto"/>
        <w:contextualSpacing w:val="0"/>
      </w:pPr>
      <w:r>
        <w:t>kteří neužívají návykové látky</w:t>
      </w:r>
    </w:p>
    <w:p w:rsidR="00CD6657" w:rsidRPr="00CE753D" w:rsidRDefault="00CD6657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CE753D">
      <w:pPr>
        <w:pStyle w:val="Nadpis2"/>
        <w:ind w:left="0"/>
      </w:pPr>
      <w:r>
        <w:t>2</w:t>
      </w:r>
      <w:r w:rsidR="00FB2BAC">
        <w:t xml:space="preserve">. </w:t>
      </w:r>
      <w:r w:rsidR="00601F58">
        <w:t>Vyhledej a doplň tabulku</w:t>
      </w:r>
      <w:r w:rsidR="007E5DB8">
        <w:t>.</w:t>
      </w:r>
    </w:p>
    <w:tbl>
      <w:tblPr>
        <w:tblStyle w:val="Mkatabulky"/>
        <w:tblW w:w="0" w:type="auto"/>
        <w:tblLook w:val="04A0"/>
      </w:tblPr>
      <w:tblGrid>
        <w:gridCol w:w="1809"/>
        <w:gridCol w:w="5529"/>
        <w:gridCol w:w="2409"/>
      </w:tblGrid>
      <w:tr w:rsidR="00601F58" w:rsidTr="00601F58">
        <w:tc>
          <w:tcPr>
            <w:tcW w:w="18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601F58" w:rsidRPr="00601F58" w:rsidRDefault="00601F58" w:rsidP="00601F58">
            <w:pPr>
              <w:jc w:val="center"/>
              <w:rPr>
                <w:b/>
              </w:rPr>
            </w:pPr>
            <w:r w:rsidRPr="00601F58">
              <w:rPr>
                <w:b/>
              </w:rPr>
              <w:t>onemocnění</w:t>
            </w:r>
          </w:p>
        </w:tc>
        <w:tc>
          <w:tcPr>
            <w:tcW w:w="5529" w:type="dxa"/>
            <w:tcBorders>
              <w:top w:val="single" w:sz="4" w:space="0" w:color="FFFFFF" w:themeColor="background1"/>
              <w:bottom w:val="double" w:sz="4" w:space="0" w:color="auto"/>
            </w:tcBorders>
            <w:vAlign w:val="center"/>
          </w:tcPr>
          <w:p w:rsidR="00601F58" w:rsidRPr="00601F58" w:rsidRDefault="00601F58" w:rsidP="00601F58">
            <w:pPr>
              <w:jc w:val="center"/>
              <w:rPr>
                <w:b/>
              </w:rPr>
            </w:pPr>
            <w:r w:rsidRPr="00601F58">
              <w:rPr>
                <w:b/>
              </w:rPr>
              <w:t>příznaky</w:t>
            </w:r>
          </w:p>
        </w:tc>
        <w:tc>
          <w:tcPr>
            <w:tcW w:w="2409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601F58" w:rsidRPr="00601F58" w:rsidRDefault="00601F58" w:rsidP="00601F58">
            <w:pPr>
              <w:jc w:val="center"/>
              <w:rPr>
                <w:b/>
              </w:rPr>
            </w:pPr>
            <w:r w:rsidRPr="00601F58">
              <w:rPr>
                <w:b/>
              </w:rPr>
              <w:t>léčba</w:t>
            </w:r>
          </w:p>
        </w:tc>
      </w:tr>
      <w:tr w:rsidR="00601F58" w:rsidTr="00601F58">
        <w:trPr>
          <w:trHeight w:val="567"/>
        </w:trPr>
        <w:tc>
          <w:tcPr>
            <w:tcW w:w="1809" w:type="dxa"/>
            <w:tcBorders>
              <w:top w:val="double" w:sz="4" w:space="0" w:color="auto"/>
            </w:tcBorders>
            <w:tcMar>
              <w:left w:w="170" w:type="dxa"/>
            </w:tcMar>
            <w:vAlign w:val="center"/>
          </w:tcPr>
          <w:p w:rsidR="00601F58" w:rsidRDefault="00601F58" w:rsidP="00601F58">
            <w:r>
              <w:t>syfilis</w:t>
            </w:r>
          </w:p>
        </w:tc>
        <w:tc>
          <w:tcPr>
            <w:tcW w:w="5529" w:type="dxa"/>
            <w:tcBorders>
              <w:top w:val="double" w:sz="4" w:space="0" w:color="auto"/>
            </w:tcBorders>
          </w:tcPr>
          <w:p w:rsidR="00601F58" w:rsidRDefault="00601F58" w:rsidP="00601F58">
            <w:pPr>
              <w:jc w:val="both"/>
            </w:pPr>
          </w:p>
        </w:tc>
        <w:tc>
          <w:tcPr>
            <w:tcW w:w="2409" w:type="dxa"/>
            <w:tcBorders>
              <w:top w:val="double" w:sz="4" w:space="0" w:color="auto"/>
            </w:tcBorders>
          </w:tcPr>
          <w:p w:rsidR="00601F58" w:rsidRDefault="00601F58" w:rsidP="00601F58">
            <w:pPr>
              <w:jc w:val="both"/>
            </w:pPr>
          </w:p>
        </w:tc>
      </w:tr>
      <w:tr w:rsidR="00601F58" w:rsidTr="00601F58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601F58" w:rsidRDefault="00601F58" w:rsidP="00601F58">
            <w:r>
              <w:t>kapavka</w:t>
            </w:r>
          </w:p>
        </w:tc>
        <w:tc>
          <w:tcPr>
            <w:tcW w:w="5529" w:type="dxa"/>
          </w:tcPr>
          <w:p w:rsidR="00601F58" w:rsidRDefault="00601F58" w:rsidP="00601F58">
            <w:pPr>
              <w:jc w:val="both"/>
            </w:pPr>
          </w:p>
        </w:tc>
        <w:tc>
          <w:tcPr>
            <w:tcW w:w="2409" w:type="dxa"/>
          </w:tcPr>
          <w:p w:rsidR="00601F58" w:rsidRDefault="00601F58" w:rsidP="00601F58">
            <w:pPr>
              <w:jc w:val="both"/>
            </w:pPr>
          </w:p>
        </w:tc>
      </w:tr>
      <w:tr w:rsidR="00601F58" w:rsidTr="00601F58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601F58" w:rsidRDefault="00601F58" w:rsidP="00601F58">
            <w:r>
              <w:t>chlamydie</w:t>
            </w:r>
          </w:p>
        </w:tc>
        <w:tc>
          <w:tcPr>
            <w:tcW w:w="5529" w:type="dxa"/>
          </w:tcPr>
          <w:p w:rsidR="00601F58" w:rsidRDefault="00601F58" w:rsidP="00601F58">
            <w:pPr>
              <w:jc w:val="both"/>
            </w:pPr>
          </w:p>
        </w:tc>
        <w:tc>
          <w:tcPr>
            <w:tcW w:w="2409" w:type="dxa"/>
          </w:tcPr>
          <w:p w:rsidR="00601F58" w:rsidRDefault="00601F58" w:rsidP="00601F58">
            <w:pPr>
              <w:jc w:val="both"/>
            </w:pPr>
          </w:p>
        </w:tc>
      </w:tr>
      <w:tr w:rsidR="00601F58" w:rsidTr="00601F58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601F58" w:rsidRDefault="00601F58" w:rsidP="00601F58">
            <w:r>
              <w:t>hepatitida</w:t>
            </w:r>
          </w:p>
        </w:tc>
        <w:tc>
          <w:tcPr>
            <w:tcW w:w="5529" w:type="dxa"/>
          </w:tcPr>
          <w:p w:rsidR="00601F58" w:rsidRDefault="00601F58" w:rsidP="00601F58">
            <w:pPr>
              <w:jc w:val="both"/>
            </w:pPr>
          </w:p>
        </w:tc>
        <w:tc>
          <w:tcPr>
            <w:tcW w:w="2409" w:type="dxa"/>
          </w:tcPr>
          <w:p w:rsidR="00601F58" w:rsidRDefault="00601F58" w:rsidP="00601F58">
            <w:pPr>
              <w:jc w:val="both"/>
            </w:pPr>
          </w:p>
        </w:tc>
      </w:tr>
      <w:tr w:rsidR="00601F58" w:rsidTr="00601F58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601F58" w:rsidRDefault="00601F58" w:rsidP="00601F58">
            <w:r>
              <w:t>AIDS</w:t>
            </w:r>
          </w:p>
        </w:tc>
        <w:tc>
          <w:tcPr>
            <w:tcW w:w="5529" w:type="dxa"/>
          </w:tcPr>
          <w:p w:rsidR="00601F58" w:rsidRDefault="00601F58" w:rsidP="00601F58">
            <w:pPr>
              <w:jc w:val="both"/>
            </w:pPr>
          </w:p>
        </w:tc>
        <w:tc>
          <w:tcPr>
            <w:tcW w:w="2409" w:type="dxa"/>
          </w:tcPr>
          <w:p w:rsidR="00601F58" w:rsidRDefault="00601F58" w:rsidP="00601F58">
            <w:pPr>
              <w:jc w:val="both"/>
            </w:pPr>
          </w:p>
        </w:tc>
      </w:tr>
    </w:tbl>
    <w:p w:rsidR="00863486" w:rsidRPr="00601F58" w:rsidRDefault="00863486" w:rsidP="00601F58">
      <w:pPr>
        <w:spacing w:line="480" w:lineRule="auto"/>
        <w:jc w:val="both"/>
        <w:rPr>
          <w:sz w:val="10"/>
          <w:szCs w:val="10"/>
        </w:rPr>
      </w:pPr>
    </w:p>
    <w:p w:rsidR="00870926" w:rsidRPr="005E266F" w:rsidRDefault="00870926" w:rsidP="00870926">
      <w:pPr>
        <w:pStyle w:val="Nadpis2"/>
        <w:ind w:left="0"/>
      </w:pPr>
      <w:r>
        <w:t xml:space="preserve">3. </w:t>
      </w:r>
      <w:r w:rsidR="00601F58">
        <w:t>Vyber správná tvrzení</w:t>
      </w:r>
      <w:r>
        <w:t>.</w:t>
      </w:r>
    </w:p>
    <w:p w:rsidR="00601F58" w:rsidRDefault="00765F02" w:rsidP="00601F58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Virem HIV se mohou nakazit jen narkomani, kteří používají společné jehly.</w:t>
      </w:r>
    </w:p>
    <w:p w:rsidR="00601F58" w:rsidRDefault="00E84BBE" w:rsidP="00765F02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4775835</wp:posOffset>
            </wp:positionH>
            <wp:positionV relativeFrom="paragraph">
              <wp:posOffset>81280</wp:posOffset>
            </wp:positionV>
            <wp:extent cx="1371600" cy="1371600"/>
            <wp:effectExtent l="19050" t="0" r="0" b="0"/>
            <wp:wrapNone/>
            <wp:docPr id="4" name="imgPreview" descr="cukrovka,fotografie,injekce,lé&amp;ccaron;iva,léky,medicína,ruce,zdravotní pé&amp;c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ukrovka,fotografie,injekce,lé&amp;ccaron;iva,léky,medicína,ruce,zdravotní pé&amp;ccaron;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65F02">
        <w:t>Virem HIV je možné se nakazit slinami při polibku.</w:t>
      </w:r>
    </w:p>
    <w:p w:rsidR="00601F58" w:rsidRDefault="00765F02" w:rsidP="00765F02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Matka nakažená virem HIV může porodit zdravé dítě.</w:t>
      </w:r>
    </w:p>
    <w:p w:rsidR="00765F02" w:rsidRDefault="00765F02" w:rsidP="00765F02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Proti viru HIV existuje očkování.</w:t>
      </w:r>
    </w:p>
    <w:p w:rsidR="00765F02" w:rsidRDefault="00765F02" w:rsidP="00765F02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AIDS je nemoc homosexuálů.</w:t>
      </w:r>
    </w:p>
    <w:p w:rsidR="00765F02" w:rsidRDefault="00765F02" w:rsidP="00765F02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Virus HIV se přenáší krví, spermatem, poševním sekretem a mateřským mlékem.</w:t>
      </w:r>
    </w:p>
    <w:p w:rsidR="00765F02" w:rsidRDefault="00765F02" w:rsidP="00765F02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Virus HIV se přenáší krví, spermatem, poševním sekretem a bodnutím komárem.</w:t>
      </w:r>
    </w:p>
    <w:p w:rsidR="00E020FD" w:rsidRPr="00DB3733" w:rsidRDefault="00E020FD" w:rsidP="00E020FD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pohl. přenosné nemoci (8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- </w:t>
      </w:r>
      <w:r w:rsidRPr="00E020FD">
        <w:rPr>
          <w:color w:val="FF0000"/>
          <w:sz w:val="32"/>
          <w:szCs w:val="32"/>
        </w:rPr>
        <w:t>řešení</w:t>
      </w:r>
    </w:p>
    <w:p w:rsidR="00E020FD" w:rsidRPr="00C44BCA" w:rsidRDefault="00E020FD" w:rsidP="00E020FD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>
        <w:t xml:space="preserve"> Vyber správné tvrzení.</w:t>
      </w:r>
    </w:p>
    <w:p w:rsidR="00E020FD" w:rsidRDefault="00E020FD" w:rsidP="00E020FD">
      <w:pPr>
        <w:spacing w:line="276" w:lineRule="auto"/>
        <w:rPr>
          <w:b/>
        </w:rPr>
      </w:pPr>
      <w:r>
        <w:rPr>
          <w:b/>
        </w:rPr>
        <w:t>Pohlavně přenosné choroby jsou</w:t>
      </w:r>
    </w:p>
    <w:p w:rsidR="00E020FD" w:rsidRDefault="00B055A9" w:rsidP="00E020FD">
      <w:pPr>
        <w:pStyle w:val="Odstavecseseznamem"/>
        <w:numPr>
          <w:ilvl w:val="0"/>
          <w:numId w:val="12"/>
        </w:numPr>
        <w:spacing w:line="276" w:lineRule="auto"/>
        <w:contextualSpacing w:val="0"/>
      </w:pPr>
      <w:r w:rsidRPr="00B055A9">
        <w:rPr>
          <w:b/>
          <w:bCs/>
          <w:noProof/>
        </w:rPr>
        <w:pict>
          <v:oval id="_x0000_s1270" style="position:absolute;left:0;text-align:left;margin-left:12.3pt;margin-top:15.2pt;width:18.75pt;height:15.75pt;z-index:251663360;mso-width-relative:margin;mso-height-relative:margin" filled="f" strokecolor="red" strokeweight="1.5pt">
            <v:shadow opacity=".5" offset="6pt,-6pt"/>
          </v:oval>
        </w:pict>
      </w:r>
      <w:r w:rsidR="00E020FD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3842385</wp:posOffset>
            </wp:positionH>
            <wp:positionV relativeFrom="paragraph">
              <wp:posOffset>164465</wp:posOffset>
            </wp:positionV>
            <wp:extent cx="2333625" cy="1752600"/>
            <wp:effectExtent l="19050" t="0" r="9525" b="0"/>
            <wp:wrapNone/>
            <wp:docPr id="6" name="imgPreview" descr="závislost,antibiotika,tablety,lé&amp;ccaron;íva,lékárny,fotolia,zdravotní pé&amp;ccaron;e,léky,narkotika,p&amp;rcaron;edávkování,lé&amp;ccaron;ivé p&amp;rcaron;ípravky,léka&amp;rcaron;ské p&amp;rcaron;edpisy,úleva,nemoci,lé&amp;ccaron;ba,vitamíny,dopl&amp;ncaron;ky,analgetika,léky proti bolesti,prášky proti bole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závislost,antibiotika,tablety,lé&amp;ccaron;íva,lékárny,fotolia,zdravotní pé&amp;ccaron;e,léky,narkotika,p&amp;rcaron;edávkování,lé&amp;ccaron;ivé p&amp;rcaron;ípravky,léka&amp;rcaron;ské p&amp;rcaron;edpisy,úleva,nemoci,lé&amp;ccaron;ba,vitamíny,dopl&amp;ncaron;ky,analgetika,léky proti bolesti,prášky proti bole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2308" b="12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020FD">
        <w:t>nemoci spojené s pohlavím jedince</w:t>
      </w:r>
    </w:p>
    <w:p w:rsidR="00E020FD" w:rsidRDefault="00E020FD" w:rsidP="00E020FD">
      <w:pPr>
        <w:pStyle w:val="Odstavecseseznamem"/>
        <w:numPr>
          <w:ilvl w:val="0"/>
          <w:numId w:val="12"/>
        </w:numPr>
        <w:spacing w:line="276" w:lineRule="auto"/>
        <w:contextualSpacing w:val="0"/>
      </w:pPr>
      <w:r>
        <w:t>nemoci přenášené nějakou formou sexuální aktivity</w:t>
      </w:r>
    </w:p>
    <w:p w:rsidR="00E020FD" w:rsidRDefault="00E020FD" w:rsidP="00E020FD">
      <w:pPr>
        <w:pStyle w:val="Odstavecseseznamem"/>
        <w:numPr>
          <w:ilvl w:val="0"/>
          <w:numId w:val="12"/>
        </w:numPr>
        <w:spacing w:after="120" w:line="276" w:lineRule="auto"/>
        <w:contextualSpacing w:val="0"/>
      </w:pPr>
      <w:r>
        <w:t>nemoci spojené s hormonálními poruchami</w:t>
      </w:r>
    </w:p>
    <w:p w:rsidR="00E020FD" w:rsidRPr="00BC69A5" w:rsidRDefault="00E020FD" w:rsidP="00E020FD">
      <w:pPr>
        <w:spacing w:line="276" w:lineRule="auto"/>
        <w:rPr>
          <w:b/>
        </w:rPr>
      </w:pPr>
      <w:r w:rsidRPr="00BC69A5">
        <w:rPr>
          <w:b/>
        </w:rPr>
        <w:t>Riziko nákazy pohlavně přenosnou nemocí je větší u lidí,</w:t>
      </w:r>
    </w:p>
    <w:p w:rsidR="00E020FD" w:rsidRDefault="00B055A9" w:rsidP="00E020FD">
      <w:pPr>
        <w:pStyle w:val="Odstavecseseznamem"/>
        <w:numPr>
          <w:ilvl w:val="0"/>
          <w:numId w:val="13"/>
        </w:numPr>
        <w:spacing w:line="276" w:lineRule="auto"/>
        <w:contextualSpacing w:val="0"/>
      </w:pPr>
      <w:r w:rsidRPr="00B055A9">
        <w:rPr>
          <w:b/>
          <w:noProof/>
        </w:rPr>
        <w:pict>
          <v:oval id="_x0000_s1271" style="position:absolute;left:0;text-align:left;margin-left:13.05pt;margin-top:-.3pt;width:18.75pt;height:15.75pt;z-index:251664384;mso-width-relative:margin;mso-height-relative:margin" filled="f" strokecolor="red" strokeweight="1.5pt">
            <v:shadow opacity=".5" offset="6pt,-6pt"/>
          </v:oval>
        </w:pict>
      </w:r>
      <w:r w:rsidR="00E020FD">
        <w:t>kteří se chovají promiskuitně</w:t>
      </w:r>
    </w:p>
    <w:p w:rsidR="00E020FD" w:rsidRDefault="00E020FD" w:rsidP="00E020FD">
      <w:pPr>
        <w:pStyle w:val="Odstavecseseznamem"/>
        <w:numPr>
          <w:ilvl w:val="0"/>
          <w:numId w:val="13"/>
        </w:numPr>
        <w:spacing w:line="276" w:lineRule="auto"/>
        <w:contextualSpacing w:val="0"/>
      </w:pPr>
      <w:r>
        <w:t>kteří nepoužívají hormonální antikoncepci</w:t>
      </w:r>
    </w:p>
    <w:p w:rsidR="00E020FD" w:rsidRDefault="00E020FD" w:rsidP="00E020FD">
      <w:pPr>
        <w:pStyle w:val="Odstavecseseznamem"/>
        <w:numPr>
          <w:ilvl w:val="0"/>
          <w:numId w:val="13"/>
        </w:numPr>
        <w:spacing w:after="120" w:line="276" w:lineRule="auto"/>
        <w:contextualSpacing w:val="0"/>
      </w:pPr>
      <w:r>
        <w:t>kteří pravidelně sportují</w:t>
      </w:r>
    </w:p>
    <w:p w:rsidR="00E020FD" w:rsidRDefault="00B055A9" w:rsidP="00E020FD">
      <w:pPr>
        <w:spacing w:line="276" w:lineRule="auto"/>
        <w:rPr>
          <w:b/>
        </w:rPr>
      </w:pPr>
      <w:r>
        <w:rPr>
          <w:b/>
          <w:noProof/>
        </w:rPr>
        <w:pict>
          <v:oval id="_x0000_s1272" style="position:absolute;margin-left:13.05pt;margin-top:15.1pt;width:18.75pt;height:15.75pt;z-index:251665408;mso-width-relative:margin;mso-height-relative:margin" filled="f" strokecolor="red" strokeweight="1.5pt">
            <v:shadow opacity=".5" offset="6pt,-6pt"/>
          </v:oval>
        </w:pict>
      </w:r>
      <w:r w:rsidR="00E020FD" w:rsidRPr="00BC69A5">
        <w:rPr>
          <w:b/>
        </w:rPr>
        <w:t xml:space="preserve">Riziko nákazy pohlavně přenosnou nemocí je </w:t>
      </w:r>
      <w:r w:rsidR="00E020FD">
        <w:rPr>
          <w:b/>
        </w:rPr>
        <w:t>nižší</w:t>
      </w:r>
      <w:r w:rsidR="00E020FD" w:rsidRPr="00BC69A5">
        <w:rPr>
          <w:b/>
        </w:rPr>
        <w:t xml:space="preserve"> u lidí,</w:t>
      </w:r>
    </w:p>
    <w:p w:rsidR="00E020FD" w:rsidRDefault="00E020FD" w:rsidP="00E020FD">
      <w:pPr>
        <w:pStyle w:val="Odstavecseseznamem"/>
        <w:numPr>
          <w:ilvl w:val="0"/>
          <w:numId w:val="14"/>
        </w:numPr>
        <w:spacing w:line="276" w:lineRule="auto"/>
        <w:contextualSpacing w:val="0"/>
      </w:pPr>
      <w:r>
        <w:t>kteří používají kondom</w:t>
      </w:r>
    </w:p>
    <w:p w:rsidR="00E020FD" w:rsidRDefault="00E020FD" w:rsidP="00E020FD">
      <w:pPr>
        <w:pStyle w:val="Odstavecseseznamem"/>
        <w:numPr>
          <w:ilvl w:val="0"/>
          <w:numId w:val="14"/>
        </w:numPr>
        <w:spacing w:line="276" w:lineRule="auto"/>
        <w:contextualSpacing w:val="0"/>
      </w:pPr>
      <w:r>
        <w:t>kteří používají chemickou antikoncepci</w:t>
      </w:r>
    </w:p>
    <w:p w:rsidR="00E020FD" w:rsidRPr="00BC69A5" w:rsidRDefault="00E020FD" w:rsidP="00E020FD">
      <w:pPr>
        <w:pStyle w:val="Odstavecseseznamem"/>
        <w:numPr>
          <w:ilvl w:val="0"/>
          <w:numId w:val="14"/>
        </w:numPr>
        <w:spacing w:line="276" w:lineRule="auto"/>
        <w:contextualSpacing w:val="0"/>
      </w:pPr>
      <w:r>
        <w:t>kteří neužívají návykové látky</w:t>
      </w:r>
    </w:p>
    <w:p w:rsidR="00E020FD" w:rsidRPr="00CE753D" w:rsidRDefault="00E020FD" w:rsidP="00E020FD">
      <w:pPr>
        <w:spacing w:line="360" w:lineRule="auto"/>
        <w:rPr>
          <w:b/>
          <w:sz w:val="10"/>
          <w:szCs w:val="10"/>
        </w:rPr>
      </w:pPr>
    </w:p>
    <w:p w:rsidR="00E020FD" w:rsidRPr="005E266F" w:rsidRDefault="00E020FD" w:rsidP="00E020FD">
      <w:pPr>
        <w:pStyle w:val="Nadpis2"/>
        <w:ind w:left="0"/>
      </w:pPr>
      <w:r>
        <w:t>2. Vyhledej a doplň tabulku.</w:t>
      </w:r>
    </w:p>
    <w:tbl>
      <w:tblPr>
        <w:tblStyle w:val="Mkatabulky"/>
        <w:tblW w:w="0" w:type="auto"/>
        <w:tblLook w:val="04A0"/>
      </w:tblPr>
      <w:tblGrid>
        <w:gridCol w:w="1809"/>
        <w:gridCol w:w="5529"/>
        <w:gridCol w:w="2409"/>
      </w:tblGrid>
      <w:tr w:rsidR="00E020FD" w:rsidTr="004C21CE">
        <w:tc>
          <w:tcPr>
            <w:tcW w:w="18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double" w:sz="4" w:space="0" w:color="auto"/>
            </w:tcBorders>
            <w:vAlign w:val="center"/>
          </w:tcPr>
          <w:p w:rsidR="00E020FD" w:rsidRPr="00601F58" w:rsidRDefault="00E020FD" w:rsidP="004C21CE">
            <w:pPr>
              <w:jc w:val="center"/>
              <w:rPr>
                <w:b/>
              </w:rPr>
            </w:pPr>
            <w:r w:rsidRPr="00601F58">
              <w:rPr>
                <w:b/>
              </w:rPr>
              <w:t>onemocnění</w:t>
            </w:r>
          </w:p>
        </w:tc>
        <w:tc>
          <w:tcPr>
            <w:tcW w:w="5529" w:type="dxa"/>
            <w:tcBorders>
              <w:top w:val="single" w:sz="4" w:space="0" w:color="FFFFFF" w:themeColor="background1"/>
              <w:bottom w:val="double" w:sz="4" w:space="0" w:color="auto"/>
            </w:tcBorders>
            <w:vAlign w:val="center"/>
          </w:tcPr>
          <w:p w:rsidR="00E020FD" w:rsidRPr="00601F58" w:rsidRDefault="00E020FD" w:rsidP="004C21CE">
            <w:pPr>
              <w:jc w:val="center"/>
              <w:rPr>
                <w:b/>
              </w:rPr>
            </w:pPr>
            <w:r w:rsidRPr="00601F58">
              <w:rPr>
                <w:b/>
              </w:rPr>
              <w:t>příznaky</w:t>
            </w:r>
          </w:p>
        </w:tc>
        <w:tc>
          <w:tcPr>
            <w:tcW w:w="2409" w:type="dxa"/>
            <w:tcBorders>
              <w:top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vAlign w:val="center"/>
          </w:tcPr>
          <w:p w:rsidR="00E020FD" w:rsidRPr="00601F58" w:rsidRDefault="00E020FD" w:rsidP="004C21CE">
            <w:pPr>
              <w:jc w:val="center"/>
              <w:rPr>
                <w:b/>
              </w:rPr>
            </w:pPr>
            <w:r w:rsidRPr="00601F58">
              <w:rPr>
                <w:b/>
              </w:rPr>
              <w:t>léčba</w:t>
            </w:r>
          </w:p>
        </w:tc>
      </w:tr>
      <w:tr w:rsidR="00E020FD" w:rsidTr="00E020FD">
        <w:trPr>
          <w:trHeight w:val="567"/>
        </w:trPr>
        <w:tc>
          <w:tcPr>
            <w:tcW w:w="1809" w:type="dxa"/>
            <w:tcBorders>
              <w:top w:val="double" w:sz="4" w:space="0" w:color="auto"/>
            </w:tcBorders>
            <w:tcMar>
              <w:left w:w="170" w:type="dxa"/>
            </w:tcMar>
            <w:vAlign w:val="center"/>
          </w:tcPr>
          <w:p w:rsidR="00E020FD" w:rsidRDefault="00E020FD" w:rsidP="004C21CE">
            <w:r>
              <w:t>syfilis</w:t>
            </w:r>
          </w:p>
        </w:tc>
        <w:tc>
          <w:tcPr>
            <w:tcW w:w="5529" w:type="dxa"/>
            <w:tcBorders>
              <w:top w:val="double" w:sz="4" w:space="0" w:color="auto"/>
            </w:tcBorders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vřed, vyrážka</w:t>
            </w:r>
          </w:p>
        </w:tc>
        <w:tc>
          <w:tcPr>
            <w:tcW w:w="2409" w:type="dxa"/>
            <w:tcBorders>
              <w:top w:val="double" w:sz="4" w:space="0" w:color="auto"/>
            </w:tcBorders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antibiotika</w:t>
            </w:r>
          </w:p>
        </w:tc>
      </w:tr>
      <w:tr w:rsidR="00E020FD" w:rsidTr="00E020FD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E020FD" w:rsidRDefault="00E020FD" w:rsidP="004C21CE">
            <w:r>
              <w:t>kapavka</w:t>
            </w:r>
          </w:p>
        </w:tc>
        <w:tc>
          <w:tcPr>
            <w:tcW w:w="552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hnisavý zánět sliznice vylučovacích a pohlavních orgánů</w:t>
            </w:r>
          </w:p>
        </w:tc>
        <w:tc>
          <w:tcPr>
            <w:tcW w:w="240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antibiotika</w:t>
            </w:r>
          </w:p>
        </w:tc>
      </w:tr>
      <w:tr w:rsidR="00E020FD" w:rsidTr="00E020FD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E020FD" w:rsidRDefault="00E020FD" w:rsidP="004C21CE">
            <w:r>
              <w:t>chlamydie</w:t>
            </w:r>
          </w:p>
        </w:tc>
        <w:tc>
          <w:tcPr>
            <w:tcW w:w="552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svědění, výtok, zápach</w:t>
            </w:r>
          </w:p>
        </w:tc>
        <w:tc>
          <w:tcPr>
            <w:tcW w:w="240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antibiotika</w:t>
            </w:r>
          </w:p>
        </w:tc>
      </w:tr>
      <w:tr w:rsidR="00E020FD" w:rsidTr="00E020FD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E020FD" w:rsidRDefault="00E020FD" w:rsidP="004C21CE">
            <w:r>
              <w:t>hepatitida</w:t>
            </w:r>
          </w:p>
        </w:tc>
        <w:tc>
          <w:tcPr>
            <w:tcW w:w="552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zánět jater, žloutenka</w:t>
            </w:r>
          </w:p>
        </w:tc>
        <w:tc>
          <w:tcPr>
            <w:tcW w:w="240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antivirotika</w:t>
            </w:r>
          </w:p>
        </w:tc>
      </w:tr>
      <w:tr w:rsidR="00E020FD" w:rsidTr="00E020FD">
        <w:trPr>
          <w:trHeight w:val="567"/>
        </w:trPr>
        <w:tc>
          <w:tcPr>
            <w:tcW w:w="1809" w:type="dxa"/>
            <w:tcMar>
              <w:left w:w="170" w:type="dxa"/>
            </w:tcMar>
            <w:vAlign w:val="center"/>
          </w:tcPr>
          <w:p w:rsidR="00E020FD" w:rsidRDefault="00E020FD" w:rsidP="004C21CE">
            <w:r>
              <w:t>AIDS</w:t>
            </w:r>
          </w:p>
        </w:tc>
        <w:tc>
          <w:tcPr>
            <w:tcW w:w="552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horečky, chronický průjem, zvětšené uzliny</w:t>
            </w:r>
          </w:p>
        </w:tc>
        <w:tc>
          <w:tcPr>
            <w:tcW w:w="2409" w:type="dxa"/>
            <w:vAlign w:val="center"/>
          </w:tcPr>
          <w:p w:rsidR="00E020FD" w:rsidRPr="00E020FD" w:rsidRDefault="00E020FD" w:rsidP="00E020FD">
            <w:pPr>
              <w:rPr>
                <w:color w:val="FF0000"/>
              </w:rPr>
            </w:pPr>
            <w:r w:rsidRPr="00E020FD">
              <w:rPr>
                <w:color w:val="FF0000"/>
              </w:rPr>
              <w:t>neléčitelná</w:t>
            </w:r>
          </w:p>
        </w:tc>
      </w:tr>
    </w:tbl>
    <w:p w:rsidR="00E020FD" w:rsidRPr="00601F58" w:rsidRDefault="00E020FD" w:rsidP="00E020FD">
      <w:pPr>
        <w:spacing w:line="480" w:lineRule="auto"/>
        <w:jc w:val="both"/>
        <w:rPr>
          <w:sz w:val="10"/>
          <w:szCs w:val="10"/>
        </w:rPr>
      </w:pPr>
    </w:p>
    <w:p w:rsidR="00E020FD" w:rsidRPr="005E266F" w:rsidRDefault="00E020FD" w:rsidP="00E020FD">
      <w:pPr>
        <w:pStyle w:val="Nadpis2"/>
        <w:ind w:left="0"/>
      </w:pPr>
      <w:r>
        <w:t>3. Vyber správná tvrzení.</w:t>
      </w:r>
    </w:p>
    <w:p w:rsidR="00E020FD" w:rsidRDefault="00E020FD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282" w:hanging="357"/>
        <w:contextualSpacing w:val="0"/>
      </w:pPr>
      <w:r>
        <w:t>Virem HIV se mohou nakazit jen narkomani, kteří používají společné jehly.</w:t>
      </w:r>
    </w:p>
    <w:p w:rsidR="00E020FD" w:rsidRDefault="00E020FD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4775835</wp:posOffset>
            </wp:positionH>
            <wp:positionV relativeFrom="paragraph">
              <wp:posOffset>81280</wp:posOffset>
            </wp:positionV>
            <wp:extent cx="1371600" cy="1371600"/>
            <wp:effectExtent l="19050" t="0" r="0" b="0"/>
            <wp:wrapNone/>
            <wp:docPr id="7" name="imgPreview" descr="cukrovka,fotografie,injekce,lé&amp;ccaron;iva,léky,medicína,ruce,zdravotní pé&amp;c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ukrovka,fotografie,injekce,lé&amp;ccaron;iva,léky,medicína,ruce,zdravotní pé&amp;ccaron;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Virem HIV je možné se nakazit slinami při polibku.</w:t>
      </w:r>
    </w:p>
    <w:p w:rsidR="00E020FD" w:rsidRDefault="00B055A9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rPr>
          <w:noProof/>
        </w:rPr>
        <w:pict>
          <v:oval id="_x0000_s1273" style="position:absolute;left:0;text-align:left;margin-left:1.8pt;margin-top:4.6pt;width:30.75pt;height:22.5pt;z-index:251666432;mso-width-relative:margin;mso-height-relative:margin" filled="f" stroked="f">
            <v:shadow opacity=".5" offset="6pt,-6pt"/>
            <v:textbox>
              <w:txbxContent>
                <w:p w:rsidR="00E020FD" w:rsidRPr="00E020FD" w:rsidRDefault="00E020FD" w:rsidP="00E020FD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020FD">
                    <w:rPr>
                      <w:color w:val="FF0000"/>
                      <w:sz w:val="20"/>
                      <w:szCs w:val="20"/>
                    </w:rPr>
                    <w:t>x</w:t>
                  </w:r>
                </w:p>
              </w:txbxContent>
            </v:textbox>
          </v:oval>
        </w:pict>
      </w:r>
      <w:r w:rsidR="00E020FD">
        <w:t>Matka nakažená virem HIV může porodit zdravé dítě.</w:t>
      </w:r>
    </w:p>
    <w:p w:rsidR="00E020FD" w:rsidRDefault="00E020FD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Proti viru HIV existuje očkování.</w:t>
      </w:r>
    </w:p>
    <w:p w:rsidR="00E020FD" w:rsidRDefault="00E020FD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AIDS je nemoc homosexuálů.</w:t>
      </w:r>
    </w:p>
    <w:p w:rsidR="00E020FD" w:rsidRDefault="00B055A9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rPr>
          <w:noProof/>
        </w:rPr>
        <w:pict>
          <v:oval id="_x0000_s1274" style="position:absolute;left:0;text-align:left;margin-left:1.8pt;margin-top:5.15pt;width:30.75pt;height:22.5pt;z-index:251667456;mso-width-relative:margin;mso-height-relative:margin" filled="f" stroked="f">
            <v:shadow opacity=".5" offset="6pt,-6pt"/>
            <v:textbox>
              <w:txbxContent>
                <w:p w:rsidR="00E020FD" w:rsidRPr="00E020FD" w:rsidRDefault="00E020FD" w:rsidP="00E020FD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020FD">
                    <w:rPr>
                      <w:color w:val="FF0000"/>
                      <w:sz w:val="20"/>
                      <w:szCs w:val="20"/>
                    </w:rPr>
                    <w:t>x</w:t>
                  </w:r>
                </w:p>
              </w:txbxContent>
            </v:textbox>
          </v:oval>
        </w:pict>
      </w:r>
      <w:r w:rsidR="00E020FD">
        <w:t>Virus HIV se přenáší krví, spermatem, poševním sekretem a mateřským mlékem.</w:t>
      </w:r>
    </w:p>
    <w:p w:rsidR="00E020FD" w:rsidRDefault="00E020FD" w:rsidP="00E020FD">
      <w:pPr>
        <w:pStyle w:val="Odstavecseseznamem"/>
        <w:numPr>
          <w:ilvl w:val="0"/>
          <w:numId w:val="11"/>
        </w:numPr>
        <w:tabs>
          <w:tab w:val="left" w:pos="9214"/>
        </w:tabs>
        <w:spacing w:before="120" w:line="276" w:lineRule="auto"/>
        <w:ind w:left="567" w:right="-1" w:hanging="357"/>
        <w:contextualSpacing w:val="0"/>
      </w:pPr>
      <w:r>
        <w:t>Virus HIV se přenáší krví, spermatem, poševním sekretem a bodnutím komárem.</w:t>
      </w:r>
    </w:p>
    <w:p w:rsidR="00601F58" w:rsidRDefault="00601F58" w:rsidP="00657FC7">
      <w:pPr>
        <w:tabs>
          <w:tab w:val="left" w:pos="1030"/>
        </w:tabs>
        <w:spacing w:after="360"/>
      </w:pPr>
    </w:p>
    <w:p w:rsidR="00601F58" w:rsidRPr="005D513E" w:rsidRDefault="00601F58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0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72E" w:rsidRDefault="0036672E" w:rsidP="00E72D00">
      <w:r>
        <w:separator/>
      </w:r>
    </w:p>
  </w:endnote>
  <w:endnote w:type="continuationSeparator" w:id="0">
    <w:p w:rsidR="0036672E" w:rsidRDefault="0036672E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72E" w:rsidRDefault="0036672E" w:rsidP="00E72D00">
      <w:r>
        <w:separator/>
      </w:r>
    </w:p>
  </w:footnote>
  <w:footnote w:type="continuationSeparator" w:id="0">
    <w:p w:rsidR="0036672E" w:rsidRDefault="0036672E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3D0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A6887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B651B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E7806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63197E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D4103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4408FD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2"/>
  </w:num>
  <w:num w:numId="5">
    <w:abstractNumId w:val="13"/>
  </w:num>
  <w:num w:numId="6">
    <w:abstractNumId w:val="11"/>
  </w:num>
  <w:num w:numId="7">
    <w:abstractNumId w:val="10"/>
  </w:num>
  <w:num w:numId="8">
    <w:abstractNumId w:val="0"/>
  </w:num>
  <w:num w:numId="9">
    <w:abstractNumId w:val="3"/>
  </w:num>
  <w:num w:numId="10">
    <w:abstractNumId w:val="12"/>
  </w:num>
  <w:num w:numId="11">
    <w:abstractNumId w:val="7"/>
  </w:num>
  <w:num w:numId="12">
    <w:abstractNumId w:val="5"/>
  </w:num>
  <w:num w:numId="13">
    <w:abstractNumId w:val="9"/>
  </w:num>
  <w:num w:numId="14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3554" style="mso-width-relative:margin;mso-height-relative:margin" fillcolor="white">
      <v:fill color="white"/>
      <v:shadow opacity=".5" offset="6pt,-6pt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0153A"/>
    <w:rsid w:val="00011D17"/>
    <w:rsid w:val="000302C1"/>
    <w:rsid w:val="0003271A"/>
    <w:rsid w:val="000433F7"/>
    <w:rsid w:val="000518A6"/>
    <w:rsid w:val="00071329"/>
    <w:rsid w:val="000768C5"/>
    <w:rsid w:val="000814BE"/>
    <w:rsid w:val="000A5A09"/>
    <w:rsid w:val="000B0233"/>
    <w:rsid w:val="000B19F6"/>
    <w:rsid w:val="000C4878"/>
    <w:rsid w:val="000C73A8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16AF"/>
    <w:rsid w:val="001C25C6"/>
    <w:rsid w:val="001D7243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4C02"/>
    <w:rsid w:val="00255C0D"/>
    <w:rsid w:val="00265268"/>
    <w:rsid w:val="00265708"/>
    <w:rsid w:val="00270DD2"/>
    <w:rsid w:val="00270F18"/>
    <w:rsid w:val="00275653"/>
    <w:rsid w:val="00282410"/>
    <w:rsid w:val="002B0110"/>
    <w:rsid w:val="002B07E7"/>
    <w:rsid w:val="002B1D18"/>
    <w:rsid w:val="002C0B6A"/>
    <w:rsid w:val="002D5D14"/>
    <w:rsid w:val="002E6EF0"/>
    <w:rsid w:val="002F04E3"/>
    <w:rsid w:val="002F091B"/>
    <w:rsid w:val="002F6FE5"/>
    <w:rsid w:val="003013FA"/>
    <w:rsid w:val="003053D2"/>
    <w:rsid w:val="00307A74"/>
    <w:rsid w:val="00311D5C"/>
    <w:rsid w:val="00311E2D"/>
    <w:rsid w:val="003122C1"/>
    <w:rsid w:val="00330A13"/>
    <w:rsid w:val="00353590"/>
    <w:rsid w:val="003602DD"/>
    <w:rsid w:val="0036672E"/>
    <w:rsid w:val="00381902"/>
    <w:rsid w:val="003A65F9"/>
    <w:rsid w:val="003B365C"/>
    <w:rsid w:val="003B6BA1"/>
    <w:rsid w:val="003D1E60"/>
    <w:rsid w:val="003D274F"/>
    <w:rsid w:val="003D2F75"/>
    <w:rsid w:val="003D73E2"/>
    <w:rsid w:val="003F2BB4"/>
    <w:rsid w:val="003F495E"/>
    <w:rsid w:val="003F5443"/>
    <w:rsid w:val="004004EC"/>
    <w:rsid w:val="0040406A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411"/>
    <w:rsid w:val="004858C5"/>
    <w:rsid w:val="00496087"/>
    <w:rsid w:val="004A065F"/>
    <w:rsid w:val="004A0E45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116B1"/>
    <w:rsid w:val="00513353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1F58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910C1"/>
    <w:rsid w:val="006A7365"/>
    <w:rsid w:val="006B1FED"/>
    <w:rsid w:val="006B36D0"/>
    <w:rsid w:val="006B4B84"/>
    <w:rsid w:val="006C38A9"/>
    <w:rsid w:val="006C3B39"/>
    <w:rsid w:val="006D7D60"/>
    <w:rsid w:val="006E325B"/>
    <w:rsid w:val="006E40CA"/>
    <w:rsid w:val="006F1E40"/>
    <w:rsid w:val="006F278D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5F02"/>
    <w:rsid w:val="00767076"/>
    <w:rsid w:val="00770FAF"/>
    <w:rsid w:val="00771986"/>
    <w:rsid w:val="0077404B"/>
    <w:rsid w:val="00791AE3"/>
    <w:rsid w:val="0079426D"/>
    <w:rsid w:val="00796871"/>
    <w:rsid w:val="007A7F45"/>
    <w:rsid w:val="007B66B4"/>
    <w:rsid w:val="007D0928"/>
    <w:rsid w:val="007D15FC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63486"/>
    <w:rsid w:val="00866007"/>
    <w:rsid w:val="00870806"/>
    <w:rsid w:val="00870926"/>
    <w:rsid w:val="00874892"/>
    <w:rsid w:val="0089047D"/>
    <w:rsid w:val="00891554"/>
    <w:rsid w:val="00891C6E"/>
    <w:rsid w:val="00893C71"/>
    <w:rsid w:val="008A39A4"/>
    <w:rsid w:val="008A6F68"/>
    <w:rsid w:val="008B5725"/>
    <w:rsid w:val="008C6246"/>
    <w:rsid w:val="008D4FE4"/>
    <w:rsid w:val="008D5010"/>
    <w:rsid w:val="008E238C"/>
    <w:rsid w:val="008F14AF"/>
    <w:rsid w:val="008F16F0"/>
    <w:rsid w:val="008F669E"/>
    <w:rsid w:val="0091181C"/>
    <w:rsid w:val="00917A6D"/>
    <w:rsid w:val="00921B80"/>
    <w:rsid w:val="00937A40"/>
    <w:rsid w:val="00941D05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808F5"/>
    <w:rsid w:val="00A80F0D"/>
    <w:rsid w:val="00AA4981"/>
    <w:rsid w:val="00AA59DA"/>
    <w:rsid w:val="00AC46A4"/>
    <w:rsid w:val="00AD49F1"/>
    <w:rsid w:val="00AD6D56"/>
    <w:rsid w:val="00B055A9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4BE"/>
    <w:rsid w:val="00B81932"/>
    <w:rsid w:val="00B86E19"/>
    <w:rsid w:val="00B96C6F"/>
    <w:rsid w:val="00B977A7"/>
    <w:rsid w:val="00BA0B2E"/>
    <w:rsid w:val="00BB1F0F"/>
    <w:rsid w:val="00BB3A6F"/>
    <w:rsid w:val="00BB5AB4"/>
    <w:rsid w:val="00BB7781"/>
    <w:rsid w:val="00BC69A5"/>
    <w:rsid w:val="00BE58DC"/>
    <w:rsid w:val="00BE64D5"/>
    <w:rsid w:val="00BE7CC6"/>
    <w:rsid w:val="00C13D33"/>
    <w:rsid w:val="00C156AE"/>
    <w:rsid w:val="00C168AB"/>
    <w:rsid w:val="00C32BAC"/>
    <w:rsid w:val="00C3346D"/>
    <w:rsid w:val="00C3398A"/>
    <w:rsid w:val="00C41D52"/>
    <w:rsid w:val="00C44BCA"/>
    <w:rsid w:val="00C460D6"/>
    <w:rsid w:val="00C5098E"/>
    <w:rsid w:val="00C526FC"/>
    <w:rsid w:val="00C57C3F"/>
    <w:rsid w:val="00C71DEC"/>
    <w:rsid w:val="00C75850"/>
    <w:rsid w:val="00C82FD3"/>
    <w:rsid w:val="00CA43DC"/>
    <w:rsid w:val="00CA6677"/>
    <w:rsid w:val="00CB452D"/>
    <w:rsid w:val="00CB66CE"/>
    <w:rsid w:val="00CC04CF"/>
    <w:rsid w:val="00CD6657"/>
    <w:rsid w:val="00CD7EF4"/>
    <w:rsid w:val="00CE1B3D"/>
    <w:rsid w:val="00CE22F0"/>
    <w:rsid w:val="00CE753D"/>
    <w:rsid w:val="00D10E22"/>
    <w:rsid w:val="00D15706"/>
    <w:rsid w:val="00D25C91"/>
    <w:rsid w:val="00D30ED2"/>
    <w:rsid w:val="00D323E6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0FD"/>
    <w:rsid w:val="00E02C0B"/>
    <w:rsid w:val="00E22D43"/>
    <w:rsid w:val="00E34233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4BBE"/>
    <w:rsid w:val="00E86911"/>
    <w:rsid w:val="00E94123"/>
    <w:rsid w:val="00EA0C07"/>
    <w:rsid w:val="00EB6083"/>
    <w:rsid w:val="00EC0F53"/>
    <w:rsid w:val="00EC322D"/>
    <w:rsid w:val="00F02835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  <w:rsid w:val="00FE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 style="mso-width-relative:margin;mso-height-relative:margin" fillcolor="white">
      <v:fill color="white"/>
      <v:shadow opacity=".5" offset="6pt,-6pt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94152A-C23F-46D3-84C4-B486E3EFD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458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16</cp:revision>
  <dcterms:created xsi:type="dcterms:W3CDTF">2014-06-22T21:01:00Z</dcterms:created>
  <dcterms:modified xsi:type="dcterms:W3CDTF">2014-06-25T20:28:00Z</dcterms:modified>
</cp:coreProperties>
</file>