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AB266D"/>
    <w:p w:rsidR="00000000" w:rsidRDefault="00864D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Dotkněte se inovací </w:t>
      </w:r>
      <w:r w:rsidR="00AB266D">
        <w:rPr>
          <w:b/>
          <w:sz w:val="28"/>
          <w:szCs w:val="28"/>
        </w:rPr>
        <w:t>CZ.1.07/1.3.00/51.0024</w:t>
      </w:r>
    </w:p>
    <w:p w:rsidR="00000000" w:rsidRDefault="00AB266D">
      <w:pPr>
        <w:jc w:val="center"/>
        <w:rPr>
          <w:rFonts w:ascii="Arial Narrow" w:eastAsia="Tahoma-Bold" w:hAnsi="Arial Narrow" w:cs="Tahoma-Bold"/>
          <w:b/>
          <w:bCs/>
          <w:sz w:val="32"/>
          <w:szCs w:val="32"/>
        </w:rPr>
      </w:pPr>
      <w:r>
        <w:rPr>
          <w:rFonts w:ascii="Arial Narrow" w:eastAsia="Tahoma-Bold" w:hAnsi="Arial Narrow" w:cs="Tahoma-Bold"/>
          <w:b/>
          <w:bCs/>
          <w:sz w:val="32"/>
          <w:szCs w:val="32"/>
        </w:rPr>
        <w:t>Číslovky základní 10-20</w:t>
      </w:r>
    </w:p>
    <w:p w:rsidR="00000000" w:rsidRDefault="00AB266D">
      <w:pPr>
        <w:autoSpaceDE w:val="0"/>
        <w:rPr>
          <w:rFonts w:ascii="Arial Narrow" w:eastAsia="Tahoma" w:hAnsi="Arial Narrow" w:cs="Tahoma"/>
        </w:rPr>
      </w:pPr>
      <w:r>
        <w:rPr>
          <w:rFonts w:ascii="Arial Narrow" w:eastAsia="Tahoma" w:hAnsi="Arial Narrow" w:cs="Tahoma"/>
        </w:rPr>
        <w:t>Číslovky základni 1-10 již byly probrány (viz učebnice Радуга по-новому 1) – zopakujeme je pomocí odkazu:</w:t>
      </w:r>
    </w:p>
    <w:p w:rsidR="00000000" w:rsidRDefault="00864D52">
      <w:pPr>
        <w:autoSpaceDE w:val="0"/>
        <w:rPr>
          <w:rFonts w:ascii="Tahoma" w:hAnsi="Tahoma" w:cs="Tahoma"/>
        </w:rPr>
      </w:pPr>
      <w:r>
        <w:rPr>
          <w:noProof/>
          <w:lang w:eastAsia="cs-CZ"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column">
              <wp:posOffset>2425700</wp:posOffset>
            </wp:positionH>
            <wp:positionV relativeFrom="paragraph">
              <wp:posOffset>-47625</wp:posOffset>
            </wp:positionV>
            <wp:extent cx="1562100" cy="97663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976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AB266D">
      <w:pPr>
        <w:autoSpaceDE w:val="0"/>
        <w:rPr>
          <w:rFonts w:ascii="Times New Roman" w:hAnsi="Times New Roman" w:cs="Times New Roman"/>
          <w:sz w:val="24"/>
          <w:szCs w:val="24"/>
        </w:rPr>
      </w:pPr>
      <w:hyperlink r:id="rId7" w:history="1">
        <w:r>
          <w:rPr>
            <w:rStyle w:val="Hypertextovodkaz"/>
            <w:rFonts w:ascii="Times New Roman" w:hAnsi="Times New Roman"/>
          </w:rPr>
          <w:t>Počítání 1-10 ruský vláček</w:t>
        </w:r>
      </w:hyperlink>
    </w:p>
    <w:p w:rsidR="00000000" w:rsidRDefault="00AB266D">
      <w:pPr>
        <w:rPr>
          <w:rFonts w:ascii="Times New Roman" w:hAnsi="Times New Roman" w:cs="Times New Roman"/>
          <w:sz w:val="24"/>
          <w:szCs w:val="24"/>
        </w:rPr>
      </w:pPr>
    </w:p>
    <w:p w:rsidR="00000000" w:rsidRDefault="00AB266D">
      <w:pPr>
        <w:spacing w:line="200" w:lineRule="atLeast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Pomáhá nám staroslověnština</w:t>
      </w:r>
    </w:p>
    <w:p w:rsidR="00000000" w:rsidRDefault="00AB266D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</w:rPr>
        <w:t xml:space="preserve">Číslovky od 10 do 20 vycházejí </w:t>
      </w:r>
      <w:r>
        <w:rPr>
          <w:rFonts w:ascii="Arial Narrow" w:hAnsi="Arial Narrow"/>
        </w:rPr>
        <w:t xml:space="preserve"> se systému základní číslovka nad desítkou. Slovo „děsjať“ se časem  zjednodušilo nad „cať“. Takto si studenti lépe zapamatují strukturu číselných slov.</w:t>
      </w:r>
    </w:p>
    <w:p w:rsidR="00000000" w:rsidRDefault="00AB266D">
      <w:pPr>
        <w:rPr>
          <w:rFonts w:ascii="Arial Narrow" w:hAnsi="Arial Narrow"/>
        </w:rPr>
      </w:pPr>
    </w:p>
    <w:p w:rsidR="00000000" w:rsidRDefault="00AB266D">
      <w:pPr>
        <w:autoSpaceDE w:val="0"/>
        <w:jc w:val="center"/>
        <w:rPr>
          <w:rFonts w:ascii="Arial Narrow" w:eastAsia="Tahoma-Bold" w:hAnsi="Arial Narrow" w:cs="Tahoma-Bold"/>
          <w:b/>
          <w:bCs/>
          <w:color w:val="FF0000"/>
          <w:sz w:val="28"/>
          <w:szCs w:val="28"/>
          <w:u w:val="single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70.85pt;margin-top:46.6pt;width:586.85pt;height:69.85pt;z-index:251657216;mso-wrap-distance-left:0;mso-wrap-distance-right:0" filled="t">
            <v:fill color2="black"/>
            <v:imagedata r:id="rId8" o:title=""/>
            <w10:wrap type="topAndBottom"/>
          </v:shape>
          <o:OLEObject Type="Embed" ProgID="opendocument.CalcDocument.1" ShapeID="_x0000_s1027" DrawAspect="Content" ObjectID="_1494945897" r:id="rId9"/>
        </w:pict>
      </w:r>
      <w:r>
        <w:rPr>
          <w:rFonts w:ascii="Arial Narrow" w:eastAsia="Tahoma-Bold" w:hAnsi="Arial Narrow" w:cs="Tahoma-Bold"/>
          <w:b/>
          <w:bCs/>
          <w:color w:val="FF0000"/>
          <w:sz w:val="28"/>
          <w:szCs w:val="28"/>
          <w:u w:val="single"/>
        </w:rPr>
        <w:t xml:space="preserve">Cvičení k probranému učivu  zábavnou formou – Šifrovaci klič </w:t>
      </w:r>
    </w:p>
    <w:p w:rsidR="00000000" w:rsidRDefault="00AB266D">
      <w:pPr>
        <w:autoSpaceDE w:val="0"/>
        <w:jc w:val="center"/>
        <w:rPr>
          <w:rFonts w:ascii="Arial Narrow" w:eastAsia="Tahoma-Bold" w:hAnsi="Arial Narrow" w:cs="Tahoma-Bold"/>
          <w:b/>
          <w:bCs/>
          <w:sz w:val="28"/>
          <w:szCs w:val="28"/>
          <w:u w:val="single"/>
        </w:rPr>
      </w:pPr>
      <w:r>
        <w:rPr>
          <w:rFonts w:ascii="Arial Narrow" w:eastAsia="Tahoma-Bold" w:hAnsi="Arial Narrow" w:cs="Tahoma-Bold"/>
          <w:b/>
          <w:bCs/>
          <w:sz w:val="28"/>
          <w:szCs w:val="28"/>
          <w:u w:val="single"/>
        </w:rPr>
        <w:t>(NA TABULI, studenti si otevřou tabulku</w:t>
      </w:r>
      <w:r>
        <w:rPr>
          <w:rFonts w:ascii="Arial Narrow" w:eastAsia="Tahoma-Bold" w:hAnsi="Arial Narrow" w:cs="Tahoma-Bold"/>
          <w:b/>
          <w:bCs/>
          <w:sz w:val="28"/>
          <w:szCs w:val="28"/>
          <w:u w:val="single"/>
        </w:rPr>
        <w:t xml:space="preserve"> v příloze)</w:t>
      </w:r>
    </w:p>
    <w:p w:rsidR="00000000" w:rsidRDefault="00AB266D">
      <w:pPr>
        <w:autoSpaceDE w:val="0"/>
        <w:rPr>
          <w:rFonts w:ascii="Tahoma" w:eastAsia="Tahoma" w:hAnsi="Tahoma" w:cs="Tahoma"/>
          <w:sz w:val="27"/>
          <w:szCs w:val="27"/>
        </w:rPr>
      </w:pPr>
    </w:p>
    <w:p w:rsidR="00000000" w:rsidRDefault="00AB266D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 xml:space="preserve">Jak pracovat s klíčem?    </w:t>
      </w:r>
      <w:r>
        <w:rPr>
          <w:rFonts w:ascii="Arial Narrow" w:hAnsi="Arial Narrow"/>
        </w:rPr>
        <w:t xml:space="preserve"> Čislovky odpovídají pismenům (viz přiklad tabulky)</w:t>
      </w:r>
    </w:p>
    <w:p w:rsidR="00000000" w:rsidRDefault="00AB266D">
      <w:pPr>
        <w:spacing w:line="200" w:lineRule="atLeast"/>
        <w:rPr>
          <w:rFonts w:ascii="Arial Narrow" w:hAnsi="Arial Narrow"/>
        </w:rPr>
      </w:pPr>
      <w:r>
        <w:rPr>
          <w:rFonts w:ascii="Arial Narrow" w:hAnsi="Arial Narrow"/>
        </w:rPr>
        <w:t>a) nejprve učitel vyvolává písmena, studenti musejí správně vyslovit číslovku</w:t>
      </w:r>
    </w:p>
    <w:p w:rsidR="00000000" w:rsidRDefault="00AB266D">
      <w:pPr>
        <w:spacing w:line="200" w:lineRule="atLeast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b) učitel napíše slovo z daných písmen a studenti musejí správně spočitat výsledek (nej</w:t>
      </w:r>
      <w:r>
        <w:rPr>
          <w:rFonts w:ascii="Arial Narrow" w:hAnsi="Arial Narrow"/>
        </w:rPr>
        <w:t xml:space="preserve">dřive vybíráme slova se součtem do 20, například: </w:t>
      </w:r>
      <w:r>
        <w:rPr>
          <w:rFonts w:ascii="Arial Narrow" w:hAnsi="Arial Narrow"/>
          <w:b/>
          <w:bCs/>
        </w:rPr>
        <w:t xml:space="preserve">око (10),вор(19), река, (16) я (20), </w:t>
      </w:r>
      <w:r>
        <w:rPr>
          <w:rFonts w:ascii="Arial Narrow" w:hAnsi="Arial Narrow"/>
          <w:b/>
          <w:bCs/>
          <w:lang w:val="ru-RU"/>
        </w:rPr>
        <w:t xml:space="preserve">мак </w:t>
      </w:r>
      <w:r>
        <w:rPr>
          <w:rFonts w:ascii="Arial Narrow" w:hAnsi="Arial Narrow"/>
          <w:b/>
          <w:bCs/>
        </w:rPr>
        <w:t>(10)</w:t>
      </w:r>
      <w:r>
        <w:rPr>
          <w:rFonts w:ascii="Arial Narrow" w:hAnsi="Arial Narrow"/>
          <w:b/>
          <w:bCs/>
        </w:rPr>
        <w:t xml:space="preserve">, сок (17), </w:t>
      </w:r>
      <w:r>
        <w:rPr>
          <w:rFonts w:ascii="Arial Narrow" w:hAnsi="Arial Narrow"/>
          <w:b/>
          <w:bCs/>
          <w:lang w:val="ru-RU"/>
        </w:rPr>
        <w:t xml:space="preserve">хам </w:t>
      </w:r>
      <w:r>
        <w:rPr>
          <w:rFonts w:ascii="Arial Narrow" w:hAnsi="Arial Narrow"/>
          <w:b/>
          <w:bCs/>
        </w:rPr>
        <w:t>(18).</w:t>
      </w:r>
    </w:p>
    <w:p w:rsidR="00000000" w:rsidRDefault="00AB266D">
      <w:pPr>
        <w:spacing w:line="200" w:lineRule="atLeast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P</w:t>
      </w:r>
      <w:r>
        <w:rPr>
          <w:rFonts w:ascii="Arial Narrow" w:hAnsi="Arial Narrow"/>
        </w:rPr>
        <w:t xml:space="preserve">oté můžeme přidat slova se součtem do 29, studenti uměji nakombinovat dané číslovky: </w:t>
      </w:r>
      <w:r>
        <w:rPr>
          <w:rFonts w:ascii="Arial Narrow" w:hAnsi="Arial Narrow"/>
          <w:b/>
          <w:bCs/>
        </w:rPr>
        <w:t>Мост,Москва, вера, весна, метро, сорока, корова.</w:t>
      </w:r>
    </w:p>
    <w:p w:rsidR="00000000" w:rsidRDefault="00AB266D">
      <w:pPr>
        <w:spacing w:line="200" w:lineRule="atLeast"/>
        <w:rPr>
          <w:rFonts w:ascii="Arial Narrow" w:hAnsi="Arial Narrow"/>
        </w:rPr>
      </w:pPr>
    </w:p>
    <w:p w:rsidR="00000000" w:rsidRDefault="00AB266D">
      <w:pPr>
        <w:spacing w:line="200" w:lineRule="atLeast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Tab</w:t>
      </w:r>
      <w:r>
        <w:rPr>
          <w:rFonts w:ascii="Arial Narrow" w:hAnsi="Arial Narrow"/>
          <w:b/>
          <w:bCs/>
        </w:rPr>
        <w:t>ulku lze použít i pro vyšší číslovky nad 50, případně lze tabulku obměnit dle potřeby.</w:t>
      </w:r>
    </w:p>
    <w:p w:rsidR="00000000" w:rsidRDefault="00AB266D">
      <w:pPr>
        <w:spacing w:line="200" w:lineRule="atLeast"/>
      </w:pPr>
    </w:p>
    <w:p w:rsidR="00000000" w:rsidRDefault="00864D52">
      <w:pPr>
        <w:spacing w:line="200" w:lineRule="atLeast"/>
        <w:sectPr w:rsidR="00000000" w:rsidSect="00864D52">
          <w:headerReference w:type="default" r:id="rId10"/>
          <w:footerReference w:type="default" r:id="rId11"/>
          <w:pgSz w:w="11906" w:h="16838"/>
          <w:pgMar w:top="1417" w:right="1417" w:bottom="1417" w:left="1417" w:header="340" w:footer="340" w:gutter="0"/>
          <w:cols w:space="708"/>
          <w:docGrid w:linePitch="299" w:charSpace="36864"/>
        </w:sectPr>
      </w:pPr>
      <w:r>
        <w:t>PŘÍLOHA – PRO ŽÁKY</w:t>
      </w:r>
    </w:p>
    <w:p w:rsidR="00000000" w:rsidRDefault="00AB266D">
      <w:pPr>
        <w:spacing w:line="200" w:lineRule="atLeast"/>
      </w:pPr>
    </w:p>
    <w:p w:rsidR="00AB266D" w:rsidRDefault="00AB266D">
      <w:pPr>
        <w:spacing w:line="200" w:lineRule="atLeast"/>
      </w:pPr>
      <w:r>
        <w:pict>
          <v:shape id="_x0000_s1029" type="#_x0000_t75" style="position:absolute;margin-left:0;margin-top:10pt;width:752.45pt;height:313.15pt;z-index:251659264;mso-wrap-distance-left:0;mso-wrap-distance-right:0;mso-position-horizontal:center" filled="t">
            <v:fill color2="black"/>
            <v:imagedata r:id="rId8" o:title=""/>
            <w10:wrap type="topAndBottom"/>
          </v:shape>
          <o:OLEObject Type="Embed" ProgID="opendocument.CalcDocument.1" ShapeID="_x0000_s1029" DrawAspect="Content" ObjectID="_1494945898" r:id="rId12"/>
        </w:pict>
      </w:r>
    </w:p>
    <w:sectPr w:rsidR="00AB266D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66D" w:rsidRDefault="00AB266D" w:rsidP="00864D52">
      <w:pPr>
        <w:spacing w:after="0" w:line="240" w:lineRule="auto"/>
      </w:pPr>
      <w:r>
        <w:separator/>
      </w:r>
    </w:p>
  </w:endnote>
  <w:endnote w:type="continuationSeparator" w:id="0">
    <w:p w:rsidR="00AB266D" w:rsidRDefault="00AB266D" w:rsidP="00864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font117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-Bold">
    <w:altName w:val="MS Mincho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D52" w:rsidRDefault="00864D52">
    <w:pPr>
      <w:pStyle w:val="Zpat"/>
    </w:pPr>
    <w:r>
      <w:rPr>
        <w:noProof/>
        <w:lang w:eastAsia="cs-CZ"/>
      </w:rPr>
      <w:drawing>
        <wp:inline distT="0" distB="0" distL="0" distR="0">
          <wp:extent cx="5756910" cy="833755"/>
          <wp:effectExtent l="19050" t="0" r="0" b="0"/>
          <wp:docPr id="20" name="obrázek 20" descr="C:\Documents and Settings\Dum\Dokumenty\Obrázky\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Documents and Settings\Dum\Dokumenty\Obrázky\ruk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833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66D" w:rsidRDefault="00AB266D" w:rsidP="00864D52">
      <w:pPr>
        <w:spacing w:after="0" w:line="240" w:lineRule="auto"/>
      </w:pPr>
      <w:r>
        <w:separator/>
      </w:r>
    </w:p>
  </w:footnote>
  <w:footnote w:type="continuationSeparator" w:id="0">
    <w:p w:rsidR="00AB266D" w:rsidRDefault="00AB266D" w:rsidP="00864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D52" w:rsidRDefault="00864D52">
    <w:pPr>
      <w:pStyle w:val="Zhlav"/>
    </w:pPr>
    <w:r>
      <w:rPr>
        <w:noProof/>
        <w:lang w:eastAsia="cs-CZ"/>
      </w:rPr>
      <w:drawing>
        <wp:inline distT="0" distB="0" distL="0" distR="0">
          <wp:extent cx="5654675" cy="797560"/>
          <wp:effectExtent l="19050" t="0" r="3175" b="0"/>
          <wp:docPr id="5" name="obrázek 5" descr="C:\Documents and Settings\Dum\Dokumenty\Obrázky\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Documents and Settings\Dum\Dokumenty\Obrázky\loga s boxede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4675" cy="797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864D52"/>
    <w:rsid w:val="00864D52"/>
    <w:rsid w:val="00AB2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font117"/>
      <w:kern w:val="1"/>
      <w:sz w:val="22"/>
      <w:szCs w:val="22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DefaultParagraphFont">
    <w:name w:val="Default Paragraph Font"/>
  </w:style>
  <w:style w:type="character" w:customStyle="1" w:styleId="TextbublinyChar">
    <w:name w:val="Text bubliny Char"/>
    <w:basedOn w:val="DefaultParagraphFont"/>
  </w:style>
  <w:style w:type="character" w:styleId="Hypertextovodkaz">
    <w:name w:val="Hyperlink"/>
    <w:rPr>
      <w:color w:val="000080"/>
      <w:u w:val="single"/>
      <w:lang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BalloonText">
    <w:name w:val="Balloon Text"/>
    <w:basedOn w:val="Normln"/>
  </w:style>
  <w:style w:type="paragraph" w:styleId="Zhlav">
    <w:name w:val="header"/>
    <w:basedOn w:val="Normln"/>
    <w:link w:val="ZhlavChar"/>
    <w:uiPriority w:val="99"/>
    <w:semiHidden/>
    <w:unhideWhenUsed/>
    <w:rsid w:val="00864D5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64D52"/>
    <w:rPr>
      <w:rFonts w:ascii="Calibri" w:eastAsia="SimSun" w:hAnsi="Calibri" w:cs="font117"/>
      <w:kern w:val="1"/>
      <w:sz w:val="22"/>
      <w:szCs w:val="22"/>
      <w:lang w:eastAsia="ar-SA"/>
    </w:rPr>
  </w:style>
  <w:style w:type="paragraph" w:styleId="Zpat">
    <w:name w:val="footer"/>
    <w:basedOn w:val="Normln"/>
    <w:link w:val="ZpatChar"/>
    <w:uiPriority w:val="99"/>
    <w:semiHidden/>
    <w:unhideWhenUsed/>
    <w:rsid w:val="00864D5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64D52"/>
    <w:rPr>
      <w:rFonts w:ascii="Calibri" w:eastAsia="SimSun" w:hAnsi="Calibri" w:cs="font117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oogle.cz/url?sa=t&amp;rct=j&amp;q=&amp;esrc=s&amp;source=web&amp;cd=2&amp;cad=rja&amp;uact=8&amp;ved=0CCkQtwIwAQ&amp;url=http://www.youtube.com/watch?v=0n_aUMfPojY&amp;ei=Sg1wVdz3JYX4ygPCw4LgDQ&amp;usg=AFQjCNG6VbOPHg6mOW1oq9rWRGH4kL2J8Q&amp;bvm=bv.94911696,d.bGQ" TargetMode="External"/><Relationship Id="rId12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200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Živko ILIEV, Ing.</dc:creator>
  <cp:keywords/>
  <cp:lastModifiedBy>Dum</cp:lastModifiedBy>
  <cp:revision>2</cp:revision>
  <cp:lastPrinted>1601-01-01T00:00:00Z</cp:lastPrinted>
  <dcterms:created xsi:type="dcterms:W3CDTF">2015-06-04T15:59:00Z</dcterms:created>
  <dcterms:modified xsi:type="dcterms:W3CDTF">2015-06-04T15:59:00Z</dcterms:modified>
</cp:coreProperties>
</file>