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826CAC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826CAC">
        <w:rPr>
          <w:sz w:val="24"/>
          <w:szCs w:val="24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Pr="00EB7FE3" w:rsidRDefault="00EB7FE3" w:rsidP="00FF572C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  <w:proofErr w:type="spellStart"/>
      <w:r w:rsidRPr="00EB7FE3">
        <w:rPr>
          <w:b/>
          <w:sz w:val="32"/>
          <w:szCs w:val="32"/>
        </w:rPr>
        <w:t>Geoboard</w:t>
      </w:r>
      <w:proofErr w:type="spellEnd"/>
      <w:r w:rsidRPr="00EB7FE3">
        <w:rPr>
          <w:b/>
          <w:sz w:val="32"/>
          <w:szCs w:val="32"/>
        </w:rPr>
        <w:t xml:space="preserve">, by </w:t>
      </w:r>
      <w:proofErr w:type="spellStart"/>
      <w:r w:rsidRPr="00EB7FE3">
        <w:rPr>
          <w:b/>
          <w:sz w:val="32"/>
          <w:szCs w:val="32"/>
        </w:rPr>
        <w:t>the</w:t>
      </w:r>
      <w:proofErr w:type="spellEnd"/>
      <w:r w:rsidRPr="00EB7FE3">
        <w:rPr>
          <w:b/>
          <w:sz w:val="32"/>
          <w:szCs w:val="32"/>
        </w:rPr>
        <w:t xml:space="preserve"> </w:t>
      </w:r>
      <w:proofErr w:type="spellStart"/>
      <w:r w:rsidRPr="00EB7FE3">
        <w:rPr>
          <w:b/>
          <w:sz w:val="32"/>
          <w:szCs w:val="32"/>
        </w:rPr>
        <w:t>Math</w:t>
      </w:r>
      <w:proofErr w:type="spellEnd"/>
      <w:r w:rsidRPr="00EB7FE3">
        <w:rPr>
          <w:b/>
          <w:sz w:val="32"/>
          <w:szCs w:val="32"/>
        </w:rPr>
        <w:t xml:space="preserve"> </w:t>
      </w:r>
      <w:proofErr w:type="spellStart"/>
      <w:r w:rsidRPr="00EB7FE3">
        <w:rPr>
          <w:b/>
          <w:sz w:val="32"/>
          <w:szCs w:val="32"/>
        </w:rPr>
        <w:t>Learning</w:t>
      </w:r>
      <w:proofErr w:type="spellEnd"/>
      <w:r w:rsidRPr="00EB7FE3">
        <w:rPr>
          <w:b/>
          <w:sz w:val="32"/>
          <w:szCs w:val="32"/>
        </w:rPr>
        <w:t xml:space="preserve"> Center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Pr="00EB7FE3" w:rsidRDefault="00826CAC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EB7FE3">
        <w:rPr>
          <w:sz w:val="24"/>
          <w:szCs w:val="24"/>
        </w:rPr>
        <w:t>Hana Šimková</w:t>
      </w:r>
    </w:p>
    <w:p w:rsidR="006F19D1" w:rsidRPr="00EB7FE3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EB7FE3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EB7FE3">
        <w:rPr>
          <w:sz w:val="24"/>
          <w:szCs w:val="24"/>
        </w:rPr>
        <w:t>Předmět</w:t>
      </w:r>
      <w:r w:rsidR="006F19D1" w:rsidRPr="00EB7FE3">
        <w:rPr>
          <w:sz w:val="24"/>
          <w:szCs w:val="24"/>
        </w:rPr>
        <w:t>:</w:t>
      </w:r>
      <w:r w:rsidR="00197832" w:rsidRPr="00EB7FE3">
        <w:rPr>
          <w:sz w:val="24"/>
          <w:szCs w:val="24"/>
        </w:rPr>
        <w:t xml:space="preserve"> </w:t>
      </w:r>
      <w:r w:rsidR="00417E2C" w:rsidRPr="00EB7FE3">
        <w:rPr>
          <w:sz w:val="24"/>
          <w:szCs w:val="24"/>
        </w:rPr>
        <w:t>m</w:t>
      </w:r>
      <w:r w:rsidR="00F8346B" w:rsidRPr="00EB7FE3">
        <w:rPr>
          <w:sz w:val="24"/>
          <w:szCs w:val="24"/>
        </w:rPr>
        <w:t>a</w:t>
      </w:r>
      <w:r w:rsidR="00417E2C" w:rsidRPr="00EB7FE3">
        <w:rPr>
          <w:sz w:val="24"/>
          <w:szCs w:val="24"/>
        </w:rPr>
        <w:t>tematika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26434F">
        <w:rPr>
          <w:i/>
        </w:rPr>
        <w:t>tablety, matematika, geometrické obrazce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417E2C" w:rsidRDefault="00EB7FE3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Prostřednictvím aplikace </w:t>
      </w:r>
      <w:proofErr w:type="spellStart"/>
      <w:r>
        <w:rPr>
          <w:rFonts w:eastAsiaTheme="minorHAnsi"/>
          <w:sz w:val="24"/>
          <w:szCs w:val="24"/>
          <w:lang w:eastAsia="en-US"/>
        </w:rPr>
        <w:t>Geoboard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mohou žáci objevovat základy geometrie v rovině. </w:t>
      </w:r>
      <w:proofErr w:type="gramStart"/>
      <w:r>
        <w:rPr>
          <w:rFonts w:eastAsiaTheme="minorHAnsi"/>
          <w:sz w:val="24"/>
          <w:szCs w:val="24"/>
          <w:lang w:eastAsia="en-US"/>
        </w:rPr>
        <w:t>Lze  ji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využít i</w:t>
      </w:r>
      <w:r w:rsidR="00104223">
        <w:rPr>
          <w:rFonts w:eastAsiaTheme="minorHAnsi"/>
          <w:sz w:val="24"/>
          <w:szCs w:val="24"/>
          <w:lang w:eastAsia="en-US"/>
        </w:rPr>
        <w:t xml:space="preserve"> </w:t>
      </w:r>
      <w:r w:rsidR="00930E2D">
        <w:rPr>
          <w:rFonts w:eastAsiaTheme="minorHAnsi"/>
          <w:sz w:val="24"/>
          <w:szCs w:val="24"/>
          <w:lang w:eastAsia="en-US"/>
        </w:rPr>
        <w:t xml:space="preserve">v </w:t>
      </w:r>
      <w:r w:rsidR="00104223">
        <w:rPr>
          <w:rFonts w:eastAsiaTheme="minorHAnsi"/>
          <w:sz w:val="24"/>
          <w:szCs w:val="24"/>
          <w:lang w:eastAsia="en-US"/>
        </w:rPr>
        <w:t xml:space="preserve">jiných oblastech matematiky a </w:t>
      </w:r>
      <w:r>
        <w:rPr>
          <w:rFonts w:eastAsiaTheme="minorHAnsi"/>
          <w:sz w:val="24"/>
          <w:szCs w:val="24"/>
          <w:lang w:eastAsia="en-US"/>
        </w:rPr>
        <w:t xml:space="preserve"> fyziky.</w:t>
      </w:r>
    </w:p>
    <w:p w:rsidR="00EB7FE3" w:rsidRDefault="00EB7FE3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Je vhodná pro žáky prvního stupně základní školy, ale lze ji ve velké míře použít na druhém stupni základní školy.</w:t>
      </w:r>
    </w:p>
    <w:p w:rsidR="00D27C99" w:rsidRDefault="00F474C2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</w:t>
      </w:r>
      <w:r w:rsidR="001D01C3">
        <w:rPr>
          <w:rFonts w:eastAsiaTheme="minorHAnsi"/>
          <w:sz w:val="24"/>
          <w:szCs w:val="24"/>
          <w:lang w:eastAsia="en-US"/>
        </w:rPr>
        <w:t xml:space="preserve">Jsou zde k dispozici tři různé plochy – </w:t>
      </w:r>
      <w:r w:rsidR="00D27C99">
        <w:rPr>
          <w:rFonts w:eastAsiaTheme="minorHAnsi"/>
          <w:sz w:val="24"/>
          <w:szCs w:val="24"/>
          <w:lang w:eastAsia="en-US"/>
        </w:rPr>
        <w:t>jedna čtvercová (</w:t>
      </w:r>
      <w:r w:rsidR="001D01C3">
        <w:rPr>
          <w:rFonts w:eastAsiaTheme="minorHAnsi"/>
          <w:sz w:val="24"/>
          <w:szCs w:val="24"/>
          <w:lang w:eastAsia="en-US"/>
        </w:rPr>
        <w:t>25 kolíků</w:t>
      </w:r>
      <w:r w:rsidR="00D27C99">
        <w:rPr>
          <w:rFonts w:eastAsiaTheme="minorHAnsi"/>
          <w:sz w:val="24"/>
          <w:szCs w:val="24"/>
          <w:lang w:eastAsia="en-US"/>
        </w:rPr>
        <w:t>)</w:t>
      </w:r>
      <w:r w:rsidR="001D01C3">
        <w:rPr>
          <w:rFonts w:eastAsiaTheme="minorHAnsi"/>
          <w:sz w:val="24"/>
          <w:szCs w:val="24"/>
          <w:lang w:eastAsia="en-US"/>
        </w:rPr>
        <w:t>,</w:t>
      </w:r>
      <w:r w:rsidR="00D27C99">
        <w:rPr>
          <w:rFonts w:eastAsiaTheme="minorHAnsi"/>
          <w:sz w:val="24"/>
          <w:szCs w:val="24"/>
          <w:lang w:eastAsia="en-US"/>
        </w:rPr>
        <w:t xml:space="preserve"> druhá obdélníková (</w:t>
      </w:r>
      <w:r w:rsidR="00E335F9">
        <w:rPr>
          <w:rFonts w:eastAsiaTheme="minorHAnsi"/>
          <w:sz w:val="24"/>
          <w:szCs w:val="24"/>
          <w:lang w:eastAsia="en-US"/>
        </w:rPr>
        <w:t>15</w:t>
      </w:r>
      <w:r w:rsidR="00930E2D">
        <w:rPr>
          <w:rFonts w:eastAsiaTheme="minorHAnsi"/>
          <w:sz w:val="24"/>
          <w:szCs w:val="24"/>
          <w:lang w:eastAsia="en-US"/>
        </w:rPr>
        <w:t>0 kolíků) a jedna kruhová (</w:t>
      </w:r>
      <w:r w:rsidR="00D27C99">
        <w:rPr>
          <w:rFonts w:eastAsiaTheme="minorHAnsi"/>
          <w:sz w:val="24"/>
          <w:szCs w:val="24"/>
          <w:lang w:eastAsia="en-US"/>
        </w:rPr>
        <w:t>12 + 1 kolíků).</w:t>
      </w:r>
      <w:r w:rsidR="00E91D24">
        <w:rPr>
          <w:rFonts w:eastAsiaTheme="minorHAnsi"/>
          <w:sz w:val="24"/>
          <w:szCs w:val="24"/>
          <w:lang w:eastAsia="en-US"/>
        </w:rPr>
        <w:t xml:space="preserve"> Kolíky lze spojit sítí s čísly.</w:t>
      </w:r>
      <w:r w:rsidR="00D27C99">
        <w:rPr>
          <w:rFonts w:eastAsiaTheme="minorHAnsi"/>
          <w:sz w:val="24"/>
          <w:szCs w:val="24"/>
          <w:lang w:eastAsia="en-US"/>
        </w:rPr>
        <w:t xml:space="preserve"> Žáci mohou použít osm barev provázků, pomocí nichž lze sestrojit různé geometrické útvar</w:t>
      </w:r>
      <w:r w:rsidR="00930E2D">
        <w:rPr>
          <w:rFonts w:eastAsiaTheme="minorHAnsi"/>
          <w:sz w:val="24"/>
          <w:szCs w:val="24"/>
          <w:lang w:eastAsia="en-US"/>
        </w:rPr>
        <w:t>y (</w:t>
      </w:r>
      <w:r w:rsidR="00D27C99">
        <w:rPr>
          <w:rFonts w:eastAsiaTheme="minorHAnsi"/>
          <w:sz w:val="24"/>
          <w:szCs w:val="24"/>
          <w:lang w:eastAsia="en-US"/>
        </w:rPr>
        <w:t>úsečky, čtverce, obdélníky, trojúhelníky, n-úhelníky</w:t>
      </w:r>
      <w:proofErr w:type="gramStart"/>
      <w:r w:rsidR="00D27C99">
        <w:rPr>
          <w:rFonts w:eastAsiaTheme="minorHAnsi"/>
          <w:sz w:val="24"/>
          <w:szCs w:val="24"/>
          <w:lang w:eastAsia="en-US"/>
        </w:rPr>
        <w:t>…</w:t>
      </w:r>
      <w:proofErr w:type="gramEnd"/>
      <w:r w:rsidR="00D27C99">
        <w:rPr>
          <w:rFonts w:eastAsiaTheme="minorHAnsi"/>
          <w:sz w:val="24"/>
          <w:szCs w:val="24"/>
          <w:lang w:eastAsia="en-US"/>
        </w:rPr>
        <w:t>.</w:t>
      </w:r>
      <w:proofErr w:type="spellStart"/>
      <w:proofErr w:type="gramStart"/>
      <w:r w:rsidR="00D27C99">
        <w:rPr>
          <w:rFonts w:eastAsiaTheme="minorHAnsi"/>
          <w:sz w:val="24"/>
          <w:szCs w:val="24"/>
          <w:lang w:eastAsia="en-US"/>
        </w:rPr>
        <w:t>atd</w:t>
      </w:r>
      <w:proofErr w:type="spellEnd"/>
      <w:proofErr w:type="gramEnd"/>
      <w:r w:rsidR="00D27C99">
        <w:rPr>
          <w:rFonts w:eastAsiaTheme="minorHAnsi"/>
          <w:sz w:val="24"/>
          <w:szCs w:val="24"/>
          <w:lang w:eastAsia="en-US"/>
        </w:rPr>
        <w:t>).</w:t>
      </w:r>
      <w:r w:rsidR="00E91D24">
        <w:rPr>
          <w:rFonts w:eastAsiaTheme="minorHAnsi"/>
          <w:sz w:val="24"/>
          <w:szCs w:val="24"/>
          <w:lang w:eastAsia="en-US"/>
        </w:rPr>
        <w:t xml:space="preserve"> Tyto</w:t>
      </w:r>
      <w:r w:rsidR="00930E2D">
        <w:rPr>
          <w:rFonts w:eastAsiaTheme="minorHAnsi"/>
          <w:sz w:val="24"/>
          <w:szCs w:val="24"/>
          <w:lang w:eastAsia="en-US"/>
        </w:rPr>
        <w:t xml:space="preserve"> útvary lze vyplnit barvou (všechny nebo jednotlivě</w:t>
      </w:r>
      <w:r w:rsidR="00E91D24">
        <w:rPr>
          <w:rFonts w:eastAsiaTheme="minorHAnsi"/>
          <w:sz w:val="24"/>
          <w:szCs w:val="24"/>
          <w:lang w:eastAsia="en-US"/>
        </w:rPr>
        <w:t>).</w:t>
      </w:r>
      <w:r w:rsidR="0005661A">
        <w:rPr>
          <w:rFonts w:eastAsiaTheme="minorHAnsi"/>
          <w:sz w:val="24"/>
          <w:szCs w:val="24"/>
          <w:lang w:eastAsia="en-US"/>
        </w:rPr>
        <w:t xml:space="preserve"> </w:t>
      </w:r>
      <w:r w:rsidR="00C94989">
        <w:rPr>
          <w:rFonts w:eastAsiaTheme="minorHAnsi"/>
          <w:sz w:val="24"/>
          <w:szCs w:val="24"/>
          <w:lang w:eastAsia="en-US"/>
        </w:rPr>
        <w:t xml:space="preserve"> </w:t>
      </w:r>
      <w:r w:rsidR="0005661A">
        <w:rPr>
          <w:rFonts w:eastAsiaTheme="minorHAnsi"/>
          <w:sz w:val="24"/>
          <w:szCs w:val="24"/>
          <w:lang w:eastAsia="en-US"/>
        </w:rPr>
        <w:t xml:space="preserve">A libovolně </w:t>
      </w:r>
      <w:r w:rsidR="00930E2D">
        <w:rPr>
          <w:rFonts w:eastAsiaTheme="minorHAnsi"/>
          <w:sz w:val="24"/>
          <w:szCs w:val="24"/>
          <w:lang w:eastAsia="en-US"/>
        </w:rPr>
        <w:t xml:space="preserve">lze </w:t>
      </w:r>
      <w:r w:rsidR="0005661A">
        <w:rPr>
          <w:rFonts w:eastAsiaTheme="minorHAnsi"/>
          <w:sz w:val="24"/>
          <w:szCs w:val="24"/>
          <w:lang w:eastAsia="en-US"/>
        </w:rPr>
        <w:t xml:space="preserve">s nimi </w:t>
      </w:r>
      <w:r w:rsidR="00104223">
        <w:rPr>
          <w:rFonts w:eastAsiaTheme="minorHAnsi"/>
          <w:sz w:val="24"/>
          <w:szCs w:val="24"/>
          <w:lang w:eastAsia="en-US"/>
        </w:rPr>
        <w:t>posouvat a kopírovat.</w:t>
      </w:r>
    </w:p>
    <w:p w:rsidR="0026434F" w:rsidRDefault="0026434F" w:rsidP="00CB09C4">
      <w:pPr>
        <w:spacing w:after="160" w:line="259" w:lineRule="auto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2982098" cy="1633220"/>
            <wp:effectExtent l="19050" t="0" r="8752" b="0"/>
            <wp:docPr id="2" name="obrázek 1" descr="C:\Users\Hana\Download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\Downloads\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245" cy="1659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34F" w:rsidRDefault="0026434F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26434F" w:rsidRDefault="00CB09C4" w:rsidP="00CB09C4">
      <w:pPr>
        <w:spacing w:after="160" w:line="259" w:lineRule="auto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2887472" cy="1804670"/>
            <wp:effectExtent l="19050" t="0" r="8128" b="0"/>
            <wp:docPr id="5" name="obrázek 2" descr="C:\Users\Hana\Downloads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a\Downloads\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461" cy="1808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34F" w:rsidRDefault="0026434F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D27C99" w:rsidRDefault="00D27C99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 xml:space="preserve">Pak </w:t>
      </w:r>
      <w:r w:rsidR="00E91D24">
        <w:rPr>
          <w:rFonts w:eastAsiaTheme="minorHAnsi"/>
          <w:sz w:val="24"/>
          <w:szCs w:val="24"/>
          <w:lang w:eastAsia="en-US"/>
        </w:rPr>
        <w:t xml:space="preserve">žáci </w:t>
      </w:r>
      <w:r>
        <w:rPr>
          <w:rFonts w:eastAsiaTheme="minorHAnsi"/>
          <w:sz w:val="24"/>
          <w:szCs w:val="24"/>
          <w:lang w:eastAsia="en-US"/>
        </w:rPr>
        <w:t xml:space="preserve">mohou s těmito obrazci dále pracovat: </w:t>
      </w:r>
    </w:p>
    <w:p w:rsidR="00EB7FE3" w:rsidRDefault="00930E2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1) </w:t>
      </w:r>
      <w:r w:rsidR="00D27C99">
        <w:rPr>
          <w:rFonts w:eastAsiaTheme="minorHAnsi"/>
          <w:sz w:val="24"/>
          <w:szCs w:val="24"/>
          <w:lang w:eastAsia="en-US"/>
        </w:rPr>
        <w:t>odvozovat obvody, obsahy geometrických obrazců</w:t>
      </w:r>
    </w:p>
    <w:p w:rsidR="00D27C99" w:rsidRDefault="00D27C99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2) vyvozovat různé vlastnosti geometrických obrazců</w:t>
      </w:r>
    </w:p>
    <w:p w:rsidR="00D27C99" w:rsidRDefault="00D27C99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3) </w:t>
      </w:r>
      <w:r w:rsidR="00E91D24">
        <w:rPr>
          <w:rFonts w:eastAsiaTheme="minorHAnsi"/>
          <w:sz w:val="24"/>
          <w:szCs w:val="24"/>
          <w:lang w:eastAsia="en-US"/>
        </w:rPr>
        <w:t>osová a středová souměrnost různých geometrických obrazců</w:t>
      </w:r>
    </w:p>
    <w:p w:rsidR="00E91D24" w:rsidRDefault="00E91D24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</w:t>
      </w:r>
      <w:r w:rsidR="00C94989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4) pracovat s úhly</w:t>
      </w:r>
    </w:p>
    <w:p w:rsidR="00E91D24" w:rsidRDefault="00E91D24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</w:t>
      </w:r>
      <w:r w:rsidR="00C94989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5) shodnost, podobnost</w:t>
      </w:r>
    </w:p>
    <w:p w:rsidR="00E91D24" w:rsidRDefault="00C94989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</w:t>
      </w:r>
      <w:r w:rsidR="00E91D24">
        <w:rPr>
          <w:rFonts w:eastAsiaTheme="minorHAnsi"/>
          <w:sz w:val="24"/>
          <w:szCs w:val="24"/>
          <w:lang w:eastAsia="en-US"/>
        </w:rPr>
        <w:t xml:space="preserve"> 6) sestrojení výšek a</w:t>
      </w:r>
      <w:r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="00E91D24">
        <w:rPr>
          <w:rFonts w:eastAsiaTheme="minorHAnsi"/>
          <w:sz w:val="24"/>
          <w:szCs w:val="24"/>
          <w:lang w:eastAsia="en-US"/>
        </w:rPr>
        <w:t>těžnic  v trojúhelníku</w:t>
      </w:r>
      <w:proofErr w:type="gramEnd"/>
    </w:p>
    <w:p w:rsidR="00E91D24" w:rsidRDefault="00E91D24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</w:t>
      </w:r>
      <w:r w:rsidR="00C94989">
        <w:rPr>
          <w:rFonts w:eastAsiaTheme="minorHAnsi"/>
          <w:sz w:val="24"/>
          <w:szCs w:val="24"/>
          <w:lang w:eastAsia="en-US"/>
        </w:rPr>
        <w:t xml:space="preserve">  </w:t>
      </w:r>
      <w:r>
        <w:rPr>
          <w:rFonts w:eastAsiaTheme="minorHAnsi"/>
          <w:sz w:val="24"/>
          <w:szCs w:val="24"/>
          <w:lang w:eastAsia="en-US"/>
        </w:rPr>
        <w:t>7) Pythagorova věta</w:t>
      </w:r>
    </w:p>
    <w:p w:rsidR="00CB09C4" w:rsidRDefault="00CB09C4" w:rsidP="00CB09C4">
      <w:pPr>
        <w:spacing w:after="160" w:line="259" w:lineRule="auto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2466340" cy="1541463"/>
            <wp:effectExtent l="19050" t="0" r="0" b="0"/>
            <wp:docPr id="7" name="obrázek 4" descr="C:\Users\Hana\Downloads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a\Downloads\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927" cy="154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2CE" w:rsidRDefault="000912CE" w:rsidP="000912CE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Dále jsou zde dva nástroje </w:t>
      </w:r>
      <w:r w:rsidR="0005661A">
        <w:rPr>
          <w:rFonts w:eastAsiaTheme="minorHAnsi"/>
          <w:sz w:val="24"/>
          <w:szCs w:val="24"/>
          <w:lang w:eastAsia="en-US"/>
        </w:rPr>
        <w:t xml:space="preserve">kreslení </w:t>
      </w:r>
      <w:r>
        <w:rPr>
          <w:rFonts w:eastAsiaTheme="minorHAnsi"/>
          <w:sz w:val="24"/>
          <w:szCs w:val="24"/>
          <w:lang w:eastAsia="en-US"/>
        </w:rPr>
        <w:t>– pera. Prvním perem lze vepi</w:t>
      </w:r>
      <w:r w:rsidR="00930E2D">
        <w:rPr>
          <w:rFonts w:eastAsiaTheme="minorHAnsi"/>
          <w:sz w:val="24"/>
          <w:szCs w:val="24"/>
          <w:lang w:eastAsia="en-US"/>
        </w:rPr>
        <w:t>sovat do obrazců různé zápisy (</w:t>
      </w:r>
      <w:r>
        <w:rPr>
          <w:rFonts w:eastAsiaTheme="minorHAnsi"/>
          <w:sz w:val="24"/>
          <w:szCs w:val="24"/>
          <w:lang w:eastAsia="en-US"/>
        </w:rPr>
        <w:t xml:space="preserve">popisky). Druhé vytvoří rovné přímky. Obě pera jsou v šesti barvách. </w:t>
      </w:r>
    </w:p>
    <w:p w:rsidR="00E91D24" w:rsidRDefault="0005661A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Je zde možné i vložit políčko, do kterého lze vepsat číselný výraz.</w:t>
      </w:r>
    </w:p>
    <w:p w:rsidR="0005661A" w:rsidRDefault="0005661A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Aplikace najd</w:t>
      </w:r>
      <w:r w:rsidR="00930E2D">
        <w:rPr>
          <w:rFonts w:eastAsiaTheme="minorHAnsi"/>
          <w:sz w:val="24"/>
          <w:szCs w:val="24"/>
          <w:lang w:eastAsia="en-US"/>
        </w:rPr>
        <w:t xml:space="preserve">e uplatnění i mimo geometrii – </w:t>
      </w:r>
      <w:r>
        <w:rPr>
          <w:rFonts w:eastAsiaTheme="minorHAnsi"/>
          <w:sz w:val="24"/>
          <w:szCs w:val="24"/>
          <w:lang w:eastAsia="en-US"/>
        </w:rPr>
        <w:t>odvozování při výpočtu procent</w:t>
      </w:r>
      <w:r w:rsidR="001139DD">
        <w:rPr>
          <w:rFonts w:eastAsiaTheme="minorHAnsi"/>
          <w:sz w:val="24"/>
          <w:szCs w:val="24"/>
          <w:lang w:eastAsia="en-US"/>
        </w:rPr>
        <w:t>, zlomků. Směle tuto aplikaci lze využít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="001139DD">
        <w:rPr>
          <w:rFonts w:eastAsiaTheme="minorHAnsi"/>
          <w:sz w:val="24"/>
          <w:szCs w:val="24"/>
          <w:lang w:eastAsia="en-US"/>
        </w:rPr>
        <w:t xml:space="preserve">ve fyzice </w:t>
      </w:r>
      <w:proofErr w:type="spellStart"/>
      <w:r w:rsidR="001139DD">
        <w:rPr>
          <w:rFonts w:eastAsiaTheme="minorHAnsi"/>
          <w:sz w:val="24"/>
          <w:szCs w:val="24"/>
          <w:lang w:eastAsia="en-US"/>
        </w:rPr>
        <w:t>např</w:t>
      </w:r>
      <w:proofErr w:type="spellEnd"/>
      <w:r w:rsidR="001139DD">
        <w:rPr>
          <w:rFonts w:eastAsiaTheme="minorHAnsi"/>
          <w:sz w:val="24"/>
          <w:szCs w:val="24"/>
          <w:lang w:eastAsia="en-US"/>
        </w:rPr>
        <w:t xml:space="preserve">: při </w:t>
      </w:r>
      <w:r>
        <w:rPr>
          <w:rFonts w:eastAsiaTheme="minorHAnsi"/>
          <w:sz w:val="24"/>
          <w:szCs w:val="24"/>
          <w:lang w:eastAsia="en-US"/>
        </w:rPr>
        <w:t>skládání sil</w:t>
      </w:r>
      <w:r w:rsidR="001139DD">
        <w:rPr>
          <w:rFonts w:eastAsiaTheme="minorHAnsi"/>
          <w:sz w:val="24"/>
          <w:szCs w:val="24"/>
          <w:lang w:eastAsia="en-US"/>
        </w:rPr>
        <w:t>.</w:t>
      </w:r>
    </w:p>
    <w:p w:rsidR="00CB09C4" w:rsidRDefault="00CB09C4" w:rsidP="00CB09C4">
      <w:pPr>
        <w:spacing w:after="160" w:line="259" w:lineRule="auto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2271395" cy="1419622"/>
            <wp:effectExtent l="19050" t="0" r="0" b="0"/>
            <wp:docPr id="8" name="obrázek 5" descr="C:\Users\Hana\Downloads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a\Downloads\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395" cy="1419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9DD" w:rsidRDefault="001139D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Ovládacím jazykem je angličtina. Ovládání lze zvládnout bez znalosti jazyka, protože prostředí aplikace je intuitivní a nenáročné.</w:t>
      </w:r>
    </w:p>
    <w:p w:rsidR="001139DD" w:rsidRDefault="001139DD" w:rsidP="00417E2C">
      <w:pPr>
        <w:spacing w:after="160" w:line="259" w:lineRule="auto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Aplikace je zdarma ke stažení </w:t>
      </w:r>
      <w:proofErr w:type="gramStart"/>
      <w:r>
        <w:rPr>
          <w:rFonts w:eastAsiaTheme="minorHAnsi"/>
          <w:sz w:val="24"/>
          <w:szCs w:val="24"/>
          <w:lang w:eastAsia="en-US"/>
        </w:rPr>
        <w:t xml:space="preserve">na  </w:t>
      </w:r>
      <w:proofErr w:type="spellStart"/>
      <w:r w:rsidR="003E065D">
        <w:rPr>
          <w:rFonts w:ascii="Arial" w:hAnsi="Arial" w:cs="Arial"/>
        </w:rPr>
        <w:t>Mi</w:t>
      </w:r>
      <w:r w:rsidR="003E065D" w:rsidRPr="0006142E">
        <w:rPr>
          <w:rFonts w:ascii="Arial" w:hAnsi="Arial" w:cs="Arial"/>
        </w:rPr>
        <w:t>CROSOFT</w:t>
      </w:r>
      <w:proofErr w:type="spellEnd"/>
      <w:proofErr w:type="gramEnd"/>
      <w:r w:rsidR="003E065D" w:rsidRPr="0006142E">
        <w:rPr>
          <w:rFonts w:ascii="Arial" w:hAnsi="Arial" w:cs="Arial"/>
        </w:rPr>
        <w:t xml:space="preserve"> STORE</w:t>
      </w:r>
      <w:r w:rsidR="003E065D">
        <w:rPr>
          <w:rFonts w:ascii="Arial" w:hAnsi="Arial" w:cs="Arial"/>
        </w:rPr>
        <w:t xml:space="preserve">. </w:t>
      </w:r>
      <w:r w:rsidR="003E065D" w:rsidRPr="003E065D">
        <w:rPr>
          <w:sz w:val="24"/>
          <w:szCs w:val="24"/>
        </w:rPr>
        <w:t xml:space="preserve">Pro více </w:t>
      </w:r>
      <w:r w:rsidR="003E065D">
        <w:rPr>
          <w:sz w:val="24"/>
          <w:szCs w:val="24"/>
        </w:rPr>
        <w:t xml:space="preserve">informací lze navštívit </w:t>
      </w:r>
    </w:p>
    <w:p w:rsidR="00236485" w:rsidRPr="003E065D" w:rsidRDefault="00661A4F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hyperlink r:id="rId12" w:history="1">
        <w:r w:rsidR="00236485" w:rsidRPr="003E065D">
          <w:rPr>
            <w:rStyle w:val="Hypertextovodkaz"/>
            <w:sz w:val="24"/>
            <w:szCs w:val="24"/>
          </w:rPr>
          <w:t>www.mathlearningcenter.org/apps</w:t>
        </w:r>
      </w:hyperlink>
      <w:r w:rsidR="00236485" w:rsidRPr="00472D42">
        <w:rPr>
          <w:sz w:val="24"/>
          <w:szCs w:val="24"/>
        </w:rPr>
        <w:t>.</w:t>
      </w:r>
    </w:p>
    <w:p w:rsidR="00417E2C" w:rsidRPr="00417E2C" w:rsidRDefault="00417E2C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 w:rsidRPr="00417E2C">
        <w:rPr>
          <w:rFonts w:eastAsiaTheme="minorHAnsi"/>
          <w:sz w:val="24"/>
          <w:szCs w:val="24"/>
          <w:lang w:eastAsia="en-US"/>
        </w:rPr>
        <w:t>Možnosti využití této aplikace bylo naznačeno. Metodicky už je na pedagogovi, aby zvolil takovou aktivizační metodu (divergentní myšlení, problémovou úlohu, otevřenou úlohu, práci s chybou atd.), aby aktivita a práce v hodině byla přenesena na žáky.</w:t>
      </w:r>
    </w:p>
    <w:p w:rsidR="00CC7F04" w:rsidRPr="00052BD4" w:rsidRDefault="00CC7F0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Default="00236485" w:rsidP="006F19D1">
      <w:pPr>
        <w:pStyle w:val="Zhlav"/>
        <w:tabs>
          <w:tab w:val="clear" w:pos="4536"/>
          <w:tab w:val="clear" w:pos="9072"/>
        </w:tabs>
        <w:jc w:val="both"/>
      </w:pPr>
      <w:r>
        <w:t xml:space="preserve"> </w:t>
      </w:r>
      <w:r w:rsidR="004A674C">
        <w:t xml:space="preserve">  </w:t>
      </w:r>
    </w:p>
    <w:p w:rsidR="00472D42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p w:rsidR="00472D42" w:rsidRPr="006F19D1" w:rsidRDefault="00472D42" w:rsidP="006F19D1">
      <w:pPr>
        <w:pStyle w:val="Zhlav"/>
        <w:tabs>
          <w:tab w:val="clear" w:pos="4536"/>
          <w:tab w:val="clear" w:pos="9072"/>
        </w:tabs>
        <w:jc w:val="both"/>
      </w:pPr>
    </w:p>
    <w:sectPr w:rsidR="00472D42" w:rsidRPr="006F19D1" w:rsidSect="000D010D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E9D" w:rsidRDefault="008B6E9D">
      <w:r>
        <w:separator/>
      </w:r>
    </w:p>
  </w:endnote>
  <w:endnote w:type="continuationSeparator" w:id="0">
    <w:p w:rsidR="008B6E9D" w:rsidRDefault="008B6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E9D" w:rsidRDefault="008B6E9D">
      <w:r>
        <w:separator/>
      </w:r>
    </w:p>
  </w:footnote>
  <w:footnote w:type="continuationSeparator" w:id="0">
    <w:p w:rsidR="008B6E9D" w:rsidRDefault="008B6E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1A"/>
    <w:rsid w:val="000566C9"/>
    <w:rsid w:val="00057620"/>
    <w:rsid w:val="00071FBF"/>
    <w:rsid w:val="00075684"/>
    <w:rsid w:val="00076E91"/>
    <w:rsid w:val="000804AC"/>
    <w:rsid w:val="00083392"/>
    <w:rsid w:val="000912CE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010D"/>
    <w:rsid w:val="000D2D86"/>
    <w:rsid w:val="000D618A"/>
    <w:rsid w:val="000D642B"/>
    <w:rsid w:val="000D799D"/>
    <w:rsid w:val="000E13F0"/>
    <w:rsid w:val="000E1559"/>
    <w:rsid w:val="000E5CB6"/>
    <w:rsid w:val="001036AE"/>
    <w:rsid w:val="00104223"/>
    <w:rsid w:val="00111429"/>
    <w:rsid w:val="001139DD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01C3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36485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434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36C4A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065D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2D42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A674C"/>
    <w:rsid w:val="004B1027"/>
    <w:rsid w:val="004B14F1"/>
    <w:rsid w:val="004B524A"/>
    <w:rsid w:val="004B72CB"/>
    <w:rsid w:val="004C0552"/>
    <w:rsid w:val="004C1812"/>
    <w:rsid w:val="004C1FED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1A4F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26CAC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E9D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0E2D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3EC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4989"/>
    <w:rsid w:val="00C968C5"/>
    <w:rsid w:val="00C97295"/>
    <w:rsid w:val="00CA0358"/>
    <w:rsid w:val="00CA222D"/>
    <w:rsid w:val="00CA2FF3"/>
    <w:rsid w:val="00CB0046"/>
    <w:rsid w:val="00CB09C4"/>
    <w:rsid w:val="00CB3D56"/>
    <w:rsid w:val="00CB4EEB"/>
    <w:rsid w:val="00CB568B"/>
    <w:rsid w:val="00CB684C"/>
    <w:rsid w:val="00CB6FB9"/>
    <w:rsid w:val="00CC19E6"/>
    <w:rsid w:val="00CC2735"/>
    <w:rsid w:val="00CC2C55"/>
    <w:rsid w:val="00CC38DE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27C99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35F9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1D24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B7FE3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4C2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ps">
    <w:name w:val="hps"/>
    <w:basedOn w:val="Standardnpsmoodstavce"/>
    <w:rsid w:val="00472D42"/>
  </w:style>
  <w:style w:type="character" w:styleId="Hypertextovodkaz">
    <w:name w:val="Hyperlink"/>
    <w:basedOn w:val="Standardnpsmoodstavce"/>
    <w:uiPriority w:val="99"/>
    <w:unhideWhenUsed/>
    <w:rsid w:val="003E065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1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5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Hana\Documents\Trouba\dotek%20dumy\www.mathlearningcenter.org\app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3B588-07E5-49E2-AFF6-A0F78224A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320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Grizli777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2015-06-29T13:00:00Z</dcterms:created>
  <dcterms:modified xsi:type="dcterms:W3CDTF">2015-06-29T13:00:00Z</dcterms:modified>
</cp:coreProperties>
</file>