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A7A9071" w:rsidRDefault="7A7A9071" w:rsidP="7A7A9071">
      <w:pPr>
        <w:pStyle w:val="Zhlav"/>
        <w:ind w:firstLine="0"/>
      </w:pPr>
      <w:r>
        <w:t xml:space="preserve">  </w:t>
      </w:r>
      <w:r>
        <w:br/>
      </w:r>
    </w:p>
    <w:p w:rsidR="00A84231" w:rsidRPr="00A84231" w:rsidRDefault="7A7A9071" w:rsidP="00A84231">
      <w:pPr>
        <w:pStyle w:val="Zhlav"/>
        <w:tabs>
          <w:tab w:val="clear" w:pos="4536"/>
          <w:tab w:val="clear" w:pos="9072"/>
        </w:tabs>
        <w:jc w:val="center"/>
        <w:rPr>
          <w:rFonts w:ascii="Arial" w:hAnsi="Arial" w:cs="Arial"/>
          <w:sz w:val="28"/>
          <w:szCs w:val="18"/>
        </w:rPr>
      </w:pPr>
      <w:r w:rsidRPr="7A7A9071">
        <w:rPr>
          <w:rFonts w:ascii="Arial" w:eastAsia="Arial" w:hAnsi="Arial" w:cs="Arial"/>
          <w:sz w:val="28"/>
          <w:szCs w:val="28"/>
        </w:rPr>
        <w:t>Dotkněte se inovací CZ.1.07/1.3.00/51.0024</w:t>
      </w:r>
    </w:p>
    <w:p w:rsidR="00A84231" w:rsidRDefault="00A84231" w:rsidP="00A84231">
      <w:pPr>
        <w:pStyle w:val="Zhlav"/>
        <w:tabs>
          <w:tab w:val="clear" w:pos="4536"/>
          <w:tab w:val="clear" w:pos="9072"/>
        </w:tabs>
        <w:ind w:firstLine="0"/>
        <w:rPr>
          <w:rFonts w:ascii="Arial" w:hAnsi="Arial" w:cs="Arial"/>
          <w:sz w:val="28"/>
          <w:szCs w:val="28"/>
        </w:rPr>
      </w:pPr>
    </w:p>
    <w:p w:rsidR="00A84231" w:rsidRPr="00A84231" w:rsidRDefault="00A84231" w:rsidP="00A84231">
      <w:pPr>
        <w:pStyle w:val="Zhlav"/>
        <w:tabs>
          <w:tab w:val="clear" w:pos="4536"/>
          <w:tab w:val="clear" w:pos="9072"/>
        </w:tabs>
        <w:ind w:firstLine="0"/>
        <w:rPr>
          <w:rFonts w:ascii="Arial" w:hAnsi="Arial" w:cs="Arial"/>
          <w:sz w:val="32"/>
          <w:szCs w:val="28"/>
        </w:rPr>
      </w:pPr>
    </w:p>
    <w:p w:rsidR="00A84231" w:rsidRPr="00A84231" w:rsidRDefault="00A84231" w:rsidP="00A84231">
      <w:pPr>
        <w:pStyle w:val="Zhlav"/>
        <w:tabs>
          <w:tab w:val="clear" w:pos="4536"/>
          <w:tab w:val="clear" w:pos="9072"/>
        </w:tabs>
        <w:jc w:val="center"/>
        <w:rPr>
          <w:rFonts w:ascii="Arial" w:hAnsi="Arial" w:cs="Arial"/>
          <w:b/>
          <w:sz w:val="36"/>
          <w:szCs w:val="28"/>
        </w:rPr>
      </w:pPr>
      <w:r w:rsidRPr="00A84231">
        <w:rPr>
          <w:rFonts w:ascii="Arial" w:hAnsi="Arial" w:cs="Arial"/>
          <w:b/>
          <w:sz w:val="36"/>
          <w:szCs w:val="28"/>
        </w:rPr>
        <w:t>Příprava na hodinu s využitím tabletu</w:t>
      </w:r>
    </w:p>
    <w:p w:rsidR="00A84231" w:rsidRPr="00A84231" w:rsidRDefault="00A84231" w:rsidP="00A84231">
      <w:pPr>
        <w:pStyle w:val="Seznmek"/>
        <w:numPr>
          <w:ilvl w:val="0"/>
          <w:numId w:val="0"/>
        </w:numPr>
        <w:spacing w:line="360" w:lineRule="auto"/>
        <w:rPr>
          <w:rFonts w:ascii="Arial" w:hAnsi="Arial" w:cs="Arial"/>
          <w:b/>
          <w:bCs/>
          <w:i/>
          <w:iCs/>
          <w:u w:val="single"/>
        </w:rPr>
      </w:pPr>
    </w:p>
    <w:p w:rsidR="00A84231" w:rsidRPr="00A84231" w:rsidRDefault="39200964" w:rsidP="00A84231">
      <w:pPr>
        <w:pStyle w:val="Seznmek"/>
        <w:numPr>
          <w:ilvl w:val="0"/>
          <w:numId w:val="0"/>
        </w:numPr>
        <w:spacing w:line="360" w:lineRule="auto"/>
        <w:rPr>
          <w:rFonts w:ascii="Arial" w:hAnsi="Arial" w:cs="Arial"/>
        </w:rPr>
      </w:pPr>
      <w:r w:rsidRPr="39200964">
        <w:rPr>
          <w:rFonts w:ascii="Arial" w:eastAsia="Arial" w:hAnsi="Arial" w:cs="Arial"/>
          <w:b/>
          <w:bCs/>
        </w:rPr>
        <w:t xml:space="preserve">Jméno a příjmení autora: </w:t>
      </w:r>
      <w:r w:rsidR="006A55D8" w:rsidRPr="006A55D8">
        <w:rPr>
          <w:rFonts w:ascii="Arial" w:eastAsia="Arial" w:hAnsi="Arial" w:cs="Arial"/>
          <w:bCs/>
        </w:rPr>
        <w:t>Karel Bernard</w:t>
      </w:r>
    </w:p>
    <w:p w:rsidR="00A84231" w:rsidRDefault="39200964" w:rsidP="00A84231">
      <w:pPr>
        <w:pStyle w:val="Seznmek"/>
        <w:numPr>
          <w:ilvl w:val="0"/>
          <w:numId w:val="0"/>
        </w:numPr>
        <w:spacing w:line="360" w:lineRule="auto"/>
        <w:ind w:left="284" w:hanging="284"/>
        <w:rPr>
          <w:rFonts w:ascii="Arial" w:hAnsi="Arial" w:cs="Arial"/>
        </w:rPr>
      </w:pPr>
      <w:r w:rsidRPr="39200964">
        <w:rPr>
          <w:rFonts w:ascii="Arial" w:eastAsia="Arial" w:hAnsi="Arial" w:cs="Arial"/>
          <w:b/>
          <w:bCs/>
        </w:rPr>
        <w:t>Škola:</w:t>
      </w:r>
      <w:r w:rsidRPr="39200964">
        <w:rPr>
          <w:rFonts w:ascii="Arial" w:eastAsia="Arial" w:hAnsi="Arial" w:cs="Arial"/>
        </w:rPr>
        <w:t xml:space="preserve"> 1. ZŠ Horní Slavkov, Nádražní</w:t>
      </w:r>
    </w:p>
    <w:p w:rsidR="007E30AD" w:rsidRPr="007E30AD" w:rsidRDefault="39200964" w:rsidP="00A84231">
      <w:pPr>
        <w:pStyle w:val="Seznmek"/>
        <w:numPr>
          <w:ilvl w:val="0"/>
          <w:numId w:val="0"/>
        </w:numPr>
        <w:spacing w:line="360" w:lineRule="auto"/>
        <w:ind w:left="284" w:hanging="284"/>
        <w:rPr>
          <w:rFonts w:ascii="Arial" w:hAnsi="Arial" w:cs="Arial"/>
          <w:b/>
          <w:bCs/>
          <w:iCs/>
        </w:rPr>
      </w:pPr>
      <w:r w:rsidRPr="39200964">
        <w:rPr>
          <w:rFonts w:ascii="Arial" w:eastAsia="Arial" w:hAnsi="Arial" w:cs="Arial"/>
          <w:b/>
          <w:bCs/>
        </w:rPr>
        <w:t>IČ: 75005476</w:t>
      </w:r>
    </w:p>
    <w:p w:rsidR="00A84231" w:rsidRPr="007E30AD" w:rsidRDefault="00A84231" w:rsidP="00A84231">
      <w:pPr>
        <w:pStyle w:val="Seznmek"/>
        <w:numPr>
          <w:ilvl w:val="0"/>
          <w:numId w:val="0"/>
        </w:numPr>
        <w:spacing w:line="360" w:lineRule="auto"/>
        <w:ind w:left="284" w:hanging="284"/>
        <w:rPr>
          <w:rFonts w:ascii="Arial" w:hAnsi="Arial" w:cs="Arial"/>
          <w:b/>
          <w:bCs/>
          <w:iCs/>
        </w:rPr>
      </w:pPr>
    </w:p>
    <w:p w:rsidR="00A84231" w:rsidRPr="006A55D8" w:rsidRDefault="39200964" w:rsidP="00A84231">
      <w:pPr>
        <w:pStyle w:val="Seznmek"/>
        <w:numPr>
          <w:ilvl w:val="0"/>
          <w:numId w:val="0"/>
        </w:numPr>
        <w:spacing w:line="360" w:lineRule="auto"/>
        <w:ind w:left="284" w:hanging="284"/>
        <w:rPr>
          <w:rFonts w:ascii="Arial" w:hAnsi="Arial" w:cs="Arial"/>
        </w:rPr>
      </w:pPr>
      <w:r w:rsidRPr="39200964">
        <w:rPr>
          <w:rFonts w:ascii="Arial" w:eastAsia="Arial" w:hAnsi="Arial" w:cs="Arial"/>
          <w:b/>
          <w:bCs/>
        </w:rPr>
        <w:t xml:space="preserve">Předmět: </w:t>
      </w:r>
      <w:r w:rsidR="006A55D8" w:rsidRPr="006A55D8">
        <w:rPr>
          <w:rFonts w:ascii="Arial" w:eastAsia="Arial" w:hAnsi="Arial" w:cs="Arial"/>
          <w:bCs/>
        </w:rPr>
        <w:t>Český jazyk</w:t>
      </w:r>
    </w:p>
    <w:p w:rsidR="00A84231" w:rsidRPr="00A84231" w:rsidRDefault="39200964" w:rsidP="00A84231">
      <w:pPr>
        <w:pStyle w:val="Seznmek"/>
        <w:numPr>
          <w:ilvl w:val="0"/>
          <w:numId w:val="0"/>
        </w:numPr>
        <w:spacing w:line="360" w:lineRule="auto"/>
        <w:ind w:left="284" w:hanging="284"/>
        <w:rPr>
          <w:rFonts w:ascii="Arial" w:hAnsi="Arial" w:cs="Arial"/>
          <w:b/>
        </w:rPr>
      </w:pPr>
      <w:r w:rsidRPr="39200964">
        <w:rPr>
          <w:rFonts w:ascii="Arial" w:eastAsia="Arial" w:hAnsi="Arial" w:cs="Arial"/>
          <w:b/>
          <w:bCs/>
        </w:rPr>
        <w:t xml:space="preserve">Ročník: </w:t>
      </w:r>
      <w:r w:rsidR="006A55D8" w:rsidRPr="006A55D8">
        <w:rPr>
          <w:rFonts w:ascii="Arial" w:eastAsia="Arial" w:hAnsi="Arial" w:cs="Arial"/>
          <w:bCs/>
        </w:rPr>
        <w:t>8</w:t>
      </w:r>
      <w:r w:rsidRPr="006A55D8">
        <w:rPr>
          <w:rFonts w:ascii="Arial" w:eastAsia="Arial" w:hAnsi="Arial" w:cs="Arial"/>
          <w:bCs/>
        </w:rPr>
        <w:t>.</w:t>
      </w:r>
    </w:p>
    <w:p w:rsidR="00A84231" w:rsidRPr="00A84231" w:rsidRDefault="39200964" w:rsidP="00A84231">
      <w:pPr>
        <w:pStyle w:val="Seznmek"/>
        <w:numPr>
          <w:ilvl w:val="0"/>
          <w:numId w:val="0"/>
        </w:numPr>
        <w:spacing w:line="360" w:lineRule="auto"/>
        <w:ind w:left="284" w:hanging="284"/>
        <w:rPr>
          <w:rFonts w:ascii="Arial" w:hAnsi="Arial" w:cs="Arial"/>
          <w:b/>
        </w:rPr>
      </w:pPr>
      <w:r w:rsidRPr="39200964">
        <w:rPr>
          <w:rFonts w:ascii="Arial" w:eastAsia="Arial" w:hAnsi="Arial" w:cs="Arial"/>
          <w:b/>
          <w:bCs/>
        </w:rPr>
        <w:t xml:space="preserve">Téma: </w:t>
      </w:r>
      <w:r w:rsidR="006A55D8" w:rsidRPr="006A55D8">
        <w:rPr>
          <w:rFonts w:ascii="Arial" w:eastAsia="Arial" w:hAnsi="Arial" w:cs="Arial"/>
          <w:bCs/>
        </w:rPr>
        <w:t>Jan Ámos Komenský</w:t>
      </w:r>
    </w:p>
    <w:p w:rsidR="00A84231" w:rsidRDefault="00A84231" w:rsidP="006A55D8">
      <w:pPr>
        <w:pStyle w:val="Seznmek"/>
        <w:numPr>
          <w:ilvl w:val="0"/>
          <w:numId w:val="0"/>
        </w:numPr>
        <w:pBdr>
          <w:bottom w:val="single" w:sz="4" w:space="1" w:color="auto"/>
        </w:pBdr>
        <w:spacing w:line="360" w:lineRule="auto"/>
        <w:rPr>
          <w:rFonts w:ascii="Arial" w:hAnsi="Arial" w:cs="Arial"/>
        </w:rPr>
      </w:pPr>
    </w:p>
    <w:p w:rsidR="006A55D8" w:rsidRPr="006A55D8" w:rsidRDefault="006A55D8" w:rsidP="006A55D8">
      <w:pPr>
        <w:suppressAutoHyphens/>
        <w:overflowPunct/>
        <w:autoSpaceDE/>
        <w:autoSpaceDN/>
        <w:adjustRightInd/>
        <w:spacing w:after="200" w:line="276" w:lineRule="auto"/>
        <w:ind w:firstLine="0"/>
        <w:jc w:val="left"/>
        <w:textAlignment w:val="auto"/>
        <w:rPr>
          <w:rFonts w:ascii="Calibri" w:eastAsia="Calibri" w:hAnsi="Calibri"/>
          <w:color w:val="auto"/>
          <w:sz w:val="22"/>
          <w:szCs w:val="22"/>
          <w:lang w:eastAsia="ar-SA"/>
        </w:rPr>
      </w:pPr>
    </w:p>
    <w:p w:rsidR="006A55D8" w:rsidRPr="006A55D8" w:rsidRDefault="006A55D8" w:rsidP="006A55D8">
      <w:pPr>
        <w:pStyle w:val="Seznmek"/>
        <w:numPr>
          <w:ilvl w:val="0"/>
          <w:numId w:val="0"/>
        </w:numPr>
        <w:spacing w:line="360" w:lineRule="auto"/>
        <w:rPr>
          <w:rFonts w:ascii="Arial" w:eastAsia="Arial" w:hAnsi="Arial" w:cs="Arial"/>
          <w:b/>
          <w:bCs/>
        </w:rPr>
      </w:pPr>
      <w:r w:rsidRPr="006A55D8">
        <w:rPr>
          <w:rFonts w:ascii="Arial" w:eastAsia="Arial" w:hAnsi="Arial" w:cs="Arial"/>
          <w:b/>
          <w:bCs/>
        </w:rPr>
        <w:t>Zdroje:</w:t>
      </w:r>
    </w:p>
    <w:p w:rsidR="006A55D8" w:rsidRPr="006A55D8" w:rsidRDefault="006A55D8" w:rsidP="006A55D8">
      <w:pPr>
        <w:suppressAutoHyphens/>
        <w:overflowPunct/>
        <w:autoSpaceDE/>
        <w:autoSpaceDN/>
        <w:adjustRightInd/>
        <w:spacing w:after="200" w:line="276" w:lineRule="auto"/>
        <w:ind w:firstLine="0"/>
        <w:jc w:val="left"/>
        <w:textAlignment w:val="auto"/>
        <w:rPr>
          <w:rFonts w:ascii="Calibri" w:eastAsia="Calibri" w:hAnsi="Calibri"/>
          <w:color w:val="auto"/>
          <w:sz w:val="22"/>
          <w:szCs w:val="22"/>
          <w:lang w:eastAsia="ar-SA"/>
        </w:rPr>
      </w:pPr>
      <w:r w:rsidRPr="006A55D8">
        <w:rPr>
          <w:rFonts w:ascii="Calibri" w:eastAsia="Calibri" w:hAnsi="Calibri"/>
          <w:color w:val="auto"/>
          <w:sz w:val="22"/>
          <w:szCs w:val="22"/>
          <w:lang w:eastAsia="ar-SA"/>
        </w:rPr>
        <w:t>Čerpal jsem z</w:t>
      </w:r>
      <w:r w:rsidR="00E510EF">
        <w:rPr>
          <w:rFonts w:ascii="Calibri" w:eastAsia="Calibri" w:hAnsi="Calibri"/>
          <w:color w:val="auto"/>
          <w:sz w:val="22"/>
          <w:szCs w:val="22"/>
          <w:lang w:eastAsia="ar-SA"/>
        </w:rPr>
        <w:t> </w:t>
      </w:r>
      <w:r w:rsidRPr="006A55D8">
        <w:rPr>
          <w:rFonts w:ascii="Calibri" w:eastAsia="Calibri" w:hAnsi="Calibri"/>
          <w:color w:val="auto"/>
          <w:sz w:val="22"/>
          <w:szCs w:val="22"/>
          <w:lang w:eastAsia="ar-SA"/>
        </w:rPr>
        <w:t>knihy</w:t>
      </w:r>
      <w:r w:rsidR="00E510EF">
        <w:rPr>
          <w:rFonts w:ascii="Calibri" w:eastAsia="Calibri" w:hAnsi="Calibri"/>
          <w:color w:val="auto"/>
          <w:sz w:val="22"/>
          <w:szCs w:val="22"/>
          <w:lang w:eastAsia="ar-SA"/>
        </w:rPr>
        <w:t>:</w:t>
      </w:r>
      <w:r w:rsidRPr="006A55D8">
        <w:rPr>
          <w:rFonts w:ascii="Arabic Typesetting" w:eastAsia="Calibri" w:hAnsi="Arabic Typesetting" w:cs="Arabic Typesetting"/>
          <w:color w:val="auto"/>
          <w:sz w:val="32"/>
          <w:szCs w:val="32"/>
          <w:lang w:eastAsia="ar-SA"/>
        </w:rPr>
        <w:t xml:space="preserve"> </w:t>
      </w:r>
      <w:r w:rsidR="00E510EF">
        <w:rPr>
          <w:rFonts w:ascii="Arabic Typesetting" w:eastAsia="Calibri" w:hAnsi="Arabic Typesetting" w:cs="Arabic Typesetting"/>
          <w:color w:val="auto"/>
          <w:sz w:val="32"/>
          <w:szCs w:val="32"/>
          <w:lang w:eastAsia="ar-SA"/>
        </w:rPr>
        <w:t xml:space="preserve">Jan </w:t>
      </w:r>
      <w:proofErr w:type="spellStart"/>
      <w:r w:rsidR="00E510EF">
        <w:rPr>
          <w:rFonts w:ascii="Arabic Typesetting" w:eastAsia="Calibri" w:hAnsi="Arabic Typesetting" w:cs="Arabic Typesetting"/>
          <w:color w:val="auto"/>
          <w:sz w:val="32"/>
          <w:szCs w:val="32"/>
          <w:lang w:eastAsia="ar-SA"/>
        </w:rPr>
        <w:t>Hábl</w:t>
      </w:r>
      <w:proofErr w:type="spellEnd"/>
      <w:r w:rsidR="00E510EF">
        <w:rPr>
          <w:rFonts w:ascii="Arabic Typesetting" w:eastAsia="Calibri" w:hAnsi="Arabic Typesetting" w:cs="Arabic Typesetting"/>
          <w:color w:val="auto"/>
          <w:sz w:val="32"/>
          <w:szCs w:val="32"/>
          <w:lang w:eastAsia="ar-SA"/>
        </w:rPr>
        <w:t xml:space="preserve">, </w:t>
      </w:r>
      <w:r w:rsidR="00E510EF">
        <w:rPr>
          <w:rFonts w:ascii="Arabic Typesetting" w:eastAsia="Calibri" w:hAnsi="Arabic Typesetting" w:cs="Arabic Typesetting"/>
          <w:i/>
          <w:color w:val="auto"/>
          <w:sz w:val="32"/>
          <w:szCs w:val="32"/>
          <w:lang w:eastAsia="ar-SA"/>
        </w:rPr>
        <w:t>L</w:t>
      </w:r>
      <w:r w:rsidR="00E510EF" w:rsidRPr="006A55D8">
        <w:rPr>
          <w:rFonts w:ascii="Arabic Typesetting" w:eastAsia="Calibri" w:hAnsi="Arabic Typesetting" w:cs="Arabic Typesetting"/>
          <w:i/>
          <w:color w:val="auto"/>
          <w:sz w:val="32"/>
          <w:szCs w:val="32"/>
          <w:lang w:eastAsia="ar-SA"/>
        </w:rPr>
        <w:t>ek</w:t>
      </w:r>
      <w:r w:rsidR="00E510EF">
        <w:rPr>
          <w:rFonts w:ascii="Arabic Typesetting" w:eastAsia="Calibri" w:hAnsi="Arabic Typesetting" w:cs="Arabic Typesetting"/>
          <w:i/>
          <w:color w:val="auto"/>
          <w:sz w:val="32"/>
          <w:szCs w:val="32"/>
          <w:lang w:eastAsia="ar-SA"/>
        </w:rPr>
        <w:t>ce z lidskosti v životě a díle Jana Ámose K</w:t>
      </w:r>
      <w:r w:rsidR="00E510EF" w:rsidRPr="006A55D8">
        <w:rPr>
          <w:rFonts w:ascii="Arabic Typesetting" w:eastAsia="Calibri" w:hAnsi="Arabic Typesetting" w:cs="Arabic Typesetting"/>
          <w:i/>
          <w:color w:val="auto"/>
          <w:sz w:val="32"/>
          <w:szCs w:val="32"/>
          <w:lang w:eastAsia="ar-SA"/>
        </w:rPr>
        <w:t>omenskéh</w:t>
      </w:r>
      <w:r w:rsidR="00E510EF">
        <w:rPr>
          <w:rFonts w:ascii="Arabic Typesetting" w:eastAsia="Calibri" w:hAnsi="Arabic Typesetting" w:cs="Arabic Typesetting"/>
          <w:i/>
          <w:color w:val="auto"/>
          <w:sz w:val="32"/>
          <w:szCs w:val="32"/>
          <w:lang w:eastAsia="ar-SA"/>
        </w:rPr>
        <w:t xml:space="preserve">o, </w:t>
      </w:r>
      <w:proofErr w:type="spellStart"/>
      <w:r w:rsidR="00E510EF">
        <w:rPr>
          <w:rFonts w:ascii="Arabic Typesetting" w:eastAsia="Calibri" w:hAnsi="Arabic Typesetting" w:cs="Arabic Typesetting"/>
          <w:i/>
          <w:color w:val="auto"/>
          <w:sz w:val="32"/>
          <w:szCs w:val="32"/>
          <w:lang w:eastAsia="ar-SA"/>
        </w:rPr>
        <w:t>nakl</w:t>
      </w:r>
      <w:proofErr w:type="spellEnd"/>
      <w:r w:rsidR="00E510EF">
        <w:rPr>
          <w:rFonts w:ascii="Arabic Typesetting" w:eastAsia="Calibri" w:hAnsi="Arabic Typesetting" w:cs="Arabic Typesetting"/>
          <w:i/>
          <w:color w:val="auto"/>
          <w:sz w:val="32"/>
          <w:szCs w:val="32"/>
          <w:lang w:eastAsia="ar-SA"/>
        </w:rPr>
        <w:t>. Návrat domů, 2010</w:t>
      </w:r>
    </w:p>
    <w:p w:rsidR="006A55D8" w:rsidRDefault="006A55D8" w:rsidP="00A84231">
      <w:pPr>
        <w:pStyle w:val="Seznmek"/>
        <w:numPr>
          <w:ilvl w:val="0"/>
          <w:numId w:val="0"/>
        </w:numPr>
        <w:spacing w:line="360" w:lineRule="auto"/>
        <w:rPr>
          <w:rFonts w:ascii="Arial" w:eastAsia="Arial" w:hAnsi="Arial" w:cs="Arial"/>
          <w:b/>
          <w:bCs/>
        </w:rPr>
      </w:pPr>
    </w:p>
    <w:p w:rsidR="006A55D8" w:rsidRDefault="006A55D8">
      <w:pPr>
        <w:overflowPunct/>
        <w:autoSpaceDE/>
        <w:autoSpaceDN/>
        <w:adjustRightInd/>
        <w:spacing w:after="160" w:line="259" w:lineRule="auto"/>
        <w:ind w:firstLine="0"/>
        <w:jc w:val="left"/>
        <w:textAlignment w:val="auto"/>
        <w:rPr>
          <w:rFonts w:ascii="Arial" w:eastAsia="Arial" w:hAnsi="Arial" w:cs="Arial"/>
          <w:b/>
          <w:bCs/>
        </w:rPr>
      </w:pPr>
      <w:r>
        <w:rPr>
          <w:rFonts w:ascii="Arial" w:eastAsia="Arial" w:hAnsi="Arial" w:cs="Arial"/>
          <w:b/>
          <w:bCs/>
        </w:rPr>
        <w:br w:type="page"/>
      </w:r>
    </w:p>
    <w:p w:rsidR="006A55D8" w:rsidRPr="006A55D8" w:rsidRDefault="006A55D8" w:rsidP="006A55D8">
      <w:pPr>
        <w:suppressAutoHyphens/>
        <w:overflowPunct/>
        <w:autoSpaceDE/>
        <w:autoSpaceDN/>
        <w:adjustRightInd/>
        <w:spacing w:after="200" w:line="276" w:lineRule="auto"/>
        <w:ind w:firstLine="0"/>
        <w:jc w:val="left"/>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sz w:val="28"/>
          <w:szCs w:val="28"/>
          <w:lang w:eastAsia="ar-SA"/>
        </w:rPr>
      </w:pPr>
      <w:r w:rsidRPr="006A55D8">
        <w:rPr>
          <w:rFonts w:ascii="Calibri" w:eastAsia="Calibri" w:hAnsi="Calibri"/>
          <w:color w:val="auto"/>
          <w:sz w:val="28"/>
          <w:szCs w:val="28"/>
          <w:lang w:eastAsia="ar-SA"/>
        </w:rPr>
        <w:t xml:space="preserve"> Zdroje lidskosti v Komenského biografii</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První, co ovlivnilo J. A. Komenského v názoru „jaký by měl člověk být“ byla Jednota bratrská, která se oddělila od husitského hnutí pro nemorální stav církve, jejím členem J. A. Komenský byl. Člověk by měl odmítat násilí na věcech víry a svědomí. Odmítat heslo „Koho vláda, toho víra“, dokonce odmítat v raném období úřední moc, skládat přísahy a účastnit se ve válkách. Člověk by se měl chovat tak, aby byl spasen při blížícím se konci světa.</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Po ztrátě matky, otce a dvou sester a po těžké fyzické práci ve mlýně ho do školy poslal Sbor a poté se jej ujal biskup Jan Lánský a dal mu jméno Amos („milující“). Po studiích a po návratu na Moravu se zaměřil na touhu zvýšit úroveň české gramotnosti a kultury, která zaostávala za zbytkem Evropy. Zde se objeví první požadavek na to, jaký by měl člověk být a jaký je. Je málo vzdělaný a je třeba, aby byl vzdělanějším a tím i lepším. Měl se zvýšit zájem o chudé a povzbudit bohaté k nápravě sociální neřádů (Listové do nebe).</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V době po Bíle hoře ztratil vlastně všechno, rodinu, sbor, knihovnu, svůj domov.  Odešel do polského Lešna a dále pak do exilu, v němž strávil 42 let až do své smrti. Byl zván pro svůj věhlas pedagoga např. do Anglie, Švédska, Uher a začal pracovat na svých vzdělávacích koncepcích. Začal si uvědomovat důležitost vzdělání pro zlepšení stavu lidských věcí. Chtěl reformovat prvně českou společnost a pak došel k pojmu pansofie (univerzální moudrost či vědění).  Pouze zásadní změna všech lidských záležitostí by mohla svět vyvést z víru válek, zmatku, bolesti a beznaděje. Vzdělávací systém měl být jednou se součástí tohoto zlepšení. Člověk by měl být opět vzdělaným, protože lůza se lépe ovládá, což bylo mnohokrát potvrzeno a platí to i pro současnost. Vzdělanost není to, co by změnilo samo o sobě svět. Jsou tu politické poměry a lidé pokrokoví mají vždy problém a všude. Komenskému tu chybí taktika politického boje a prosazování svých názorů, i když se snažil vytvořit mezinárodní okruh učenců, od nichž očekával přispění ke zlepšení lidských záležitostí, částečně se mu to podařilo v Čechách.</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Jaký je tedy člověk té doby?  Je to člověk obecně málo vzdělaný, chudý a na druhé straně lidé mocichtiví, hrubí (války) a bohatí. I když u všech pozvání J. A. Komenského do zahraničí politici chtěli reformovat své školství, podařilo se to jen v omezené míře a jeho názory se prosadily až později.</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sz w:val="28"/>
          <w:szCs w:val="28"/>
          <w:lang w:eastAsia="ar-SA"/>
        </w:rPr>
      </w:pPr>
      <w:r w:rsidRPr="006A55D8">
        <w:rPr>
          <w:rFonts w:ascii="Calibri" w:eastAsia="Calibri" w:hAnsi="Calibri"/>
          <w:color w:val="auto"/>
          <w:sz w:val="28"/>
          <w:szCs w:val="28"/>
          <w:lang w:eastAsia="ar-SA"/>
        </w:rPr>
        <w:t>Rozměry lidskosti v Komenského díle</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Komenský napsal zhruba 200 knih (ústředním motivem byla výchova a vzdělávání). Určitá část asi 50 knih je ztracených.</w:t>
      </w:r>
    </w:p>
    <w:p w:rsid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 xml:space="preserve">Pokud jde o jeho chápání lidskosti, je úzce spojeno s tzv. velkými nálezy </w:t>
      </w:r>
      <w:proofErr w:type="gramStart"/>
      <w:r w:rsidRPr="006A55D8">
        <w:rPr>
          <w:rFonts w:ascii="Calibri" w:eastAsia="Calibri" w:hAnsi="Calibri"/>
          <w:color w:val="auto"/>
          <w:lang w:eastAsia="ar-SA"/>
        </w:rPr>
        <w:t>ze</w:t>
      </w:r>
      <w:proofErr w:type="gramEnd"/>
      <w:r w:rsidRPr="006A55D8">
        <w:rPr>
          <w:rFonts w:ascii="Calibri" w:eastAsia="Calibri" w:hAnsi="Calibri"/>
          <w:color w:val="auto"/>
          <w:lang w:eastAsia="ar-SA"/>
        </w:rPr>
        <w:t xml:space="preserve"> 30</w:t>
      </w:r>
      <w:r w:rsidR="00800934">
        <w:rPr>
          <w:rFonts w:ascii="Calibri" w:eastAsia="Calibri" w:hAnsi="Calibri"/>
          <w:color w:val="auto"/>
          <w:lang w:eastAsia="ar-SA"/>
        </w:rPr>
        <w:t>.</w:t>
      </w:r>
      <w:r w:rsidRPr="006A55D8">
        <w:rPr>
          <w:rFonts w:ascii="Calibri" w:eastAsia="Calibri" w:hAnsi="Calibri"/>
          <w:color w:val="auto"/>
          <w:lang w:eastAsia="ar-SA"/>
        </w:rPr>
        <w:t xml:space="preserve"> let 20 století a to: Součkovy, tzv. leningradské nálezy (1931), G. H. </w:t>
      </w:r>
      <w:proofErr w:type="spellStart"/>
      <w:r w:rsidRPr="006A55D8">
        <w:rPr>
          <w:rFonts w:ascii="Calibri" w:eastAsia="Calibri" w:hAnsi="Calibri"/>
          <w:color w:val="auto"/>
          <w:lang w:eastAsia="ar-SA"/>
        </w:rPr>
        <w:t>Turnbull</w:t>
      </w:r>
      <w:proofErr w:type="spellEnd"/>
      <w:r w:rsidRPr="006A55D8">
        <w:rPr>
          <w:rFonts w:ascii="Calibri" w:eastAsia="Calibri" w:hAnsi="Calibri"/>
          <w:color w:val="auto"/>
          <w:lang w:eastAsia="ar-SA"/>
        </w:rPr>
        <w:t xml:space="preserve"> (1933) a třetí nejdůležitější </w:t>
      </w:r>
      <w:r w:rsidRPr="006A55D8">
        <w:rPr>
          <w:rFonts w:ascii="Calibri" w:eastAsia="Calibri" w:hAnsi="Calibri"/>
          <w:color w:val="auto"/>
          <w:lang w:eastAsia="ar-SA"/>
        </w:rPr>
        <w:lastRenderedPageBreak/>
        <w:t xml:space="preserve">objev D. </w:t>
      </w:r>
      <w:proofErr w:type="spellStart"/>
      <w:r w:rsidRPr="006A55D8">
        <w:rPr>
          <w:rFonts w:ascii="Calibri" w:eastAsia="Calibri" w:hAnsi="Calibri"/>
          <w:color w:val="auto"/>
          <w:lang w:eastAsia="ar-SA"/>
        </w:rPr>
        <w:t>Čiževskyj</w:t>
      </w:r>
      <w:proofErr w:type="spellEnd"/>
      <w:r w:rsidRPr="006A55D8">
        <w:rPr>
          <w:rFonts w:ascii="Calibri" w:eastAsia="Calibri" w:hAnsi="Calibri"/>
          <w:color w:val="auto"/>
          <w:lang w:eastAsia="ar-SA"/>
        </w:rPr>
        <w:t xml:space="preserve"> (1934 - Halle), kde se ukázalo, že jsou to čtyři ze sedmi částí Komenského díla „Obecná porada o nápravě věcí lidských“. Dle těchto nálezů lze rozlišit tři až čtyři stádia Komenského myšlení: 1) encyklopedické; </w:t>
      </w:r>
      <w:r w:rsidR="00800934">
        <w:rPr>
          <w:rFonts w:ascii="Calibri" w:eastAsia="Calibri" w:hAnsi="Calibri"/>
          <w:color w:val="auto"/>
          <w:lang w:eastAsia="ar-SA"/>
        </w:rPr>
        <w:t xml:space="preserve">2) stádium útěšné; 3) výchovně </w:t>
      </w:r>
      <w:r w:rsidRPr="006A55D8">
        <w:rPr>
          <w:rFonts w:ascii="Calibri" w:eastAsia="Calibri" w:hAnsi="Calibri"/>
          <w:color w:val="auto"/>
          <w:lang w:eastAsia="ar-SA"/>
        </w:rPr>
        <w:t>pansofické; 4) období celkové obnovy.</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První stádium: Teatrum</w:t>
      </w:r>
    </w:p>
    <w:p w:rsid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Komenský vidí člověka (českého člověka), který by se měl naučit moudrosti, tj</w:t>
      </w:r>
      <w:r w:rsidR="00800934">
        <w:rPr>
          <w:rFonts w:ascii="Calibri" w:eastAsia="Calibri" w:hAnsi="Calibri"/>
          <w:color w:val="auto"/>
          <w:lang w:eastAsia="ar-SA"/>
        </w:rPr>
        <w:t>.</w:t>
      </w:r>
      <w:r w:rsidRPr="006A55D8">
        <w:rPr>
          <w:rFonts w:ascii="Calibri" w:eastAsia="Calibri" w:hAnsi="Calibri"/>
          <w:color w:val="auto"/>
          <w:lang w:eastAsia="ar-SA"/>
        </w:rPr>
        <w:t xml:space="preserve"> umět spatřovat ve stvoření velikost, krásu a moc boží prozřetelnosti. Člověk by měl poznat svět lidský, ale rovněž svět nad-lidský (přirozený x nepřirozený). Člověk by měl vstoupit jako herec účastník na jeviště divadla světa. Člověk však zároveň ruší harmonii světa svými prohřešky a tím przní stvořený svět a je příčinou jeho konečnosti.</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Druhé stádium: Labyrint</w:t>
      </w:r>
    </w:p>
    <w:p w:rsid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 xml:space="preserve">Bez Teatra by nebylo Labyrintu, tj. bez pozorného nahlížení na svět by nemohla nastat jeho kritika. V Labyrintu hovoří na základě zkušeností s Bílou horou, </w:t>
      </w:r>
      <w:r w:rsidR="00800934">
        <w:rPr>
          <w:rFonts w:ascii="Calibri" w:eastAsia="Calibri" w:hAnsi="Calibri"/>
          <w:color w:val="auto"/>
          <w:lang w:eastAsia="ar-SA"/>
        </w:rPr>
        <w:t>třicetiletou</w:t>
      </w:r>
      <w:r w:rsidRPr="006A55D8">
        <w:rPr>
          <w:rFonts w:ascii="Calibri" w:eastAsia="Calibri" w:hAnsi="Calibri"/>
          <w:color w:val="auto"/>
          <w:lang w:eastAsia="ar-SA"/>
        </w:rPr>
        <w:t xml:space="preserve"> vál</w:t>
      </w:r>
      <w:r w:rsidR="00800934">
        <w:rPr>
          <w:rFonts w:ascii="Calibri" w:eastAsia="Calibri" w:hAnsi="Calibri"/>
          <w:color w:val="auto"/>
          <w:lang w:eastAsia="ar-SA"/>
        </w:rPr>
        <w:t>kou v souvislosti s drancováním</w:t>
      </w:r>
      <w:r w:rsidRPr="006A55D8">
        <w:rPr>
          <w:rFonts w:ascii="Calibri" w:eastAsia="Calibri" w:hAnsi="Calibri"/>
          <w:color w:val="auto"/>
          <w:lang w:eastAsia="ar-SA"/>
        </w:rPr>
        <w:t>, pustošením, pronásledováním a zabíjením, o bídě světa, nikoli o kráse a harmonii. Člověk je hodnocen jako ten, který činí ze světa nebezpečné místo k žití. Člověk ubližuje člověku, dívá se na svět křivě. Člověk by měl hledat útočiště, pevný bod. Člověk by se měl vypořádat s marností a mizerností světa.</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 xml:space="preserve">Třetí stádium: Centrum </w:t>
      </w:r>
      <w:proofErr w:type="spellStart"/>
      <w:r w:rsidRPr="006A55D8">
        <w:rPr>
          <w:rFonts w:ascii="Calibri" w:eastAsia="Calibri" w:hAnsi="Calibri"/>
          <w:color w:val="auto"/>
          <w:lang w:eastAsia="ar-SA"/>
        </w:rPr>
        <w:t>Securitatis</w:t>
      </w:r>
      <w:proofErr w:type="spellEnd"/>
      <w:r w:rsidRPr="006A55D8">
        <w:rPr>
          <w:rFonts w:ascii="Calibri" w:eastAsia="Calibri" w:hAnsi="Calibri"/>
          <w:color w:val="auto"/>
          <w:lang w:eastAsia="ar-SA"/>
        </w:rPr>
        <w:t xml:space="preserve"> – rezignace</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„Člověk by se měl vrátit do svého srdce a zavřít za sebou dveře.“, radí v závěru Labyrintu poutníkovi boží hlas. Uvnitř je hostem sám Kristus. Člověk by se měl tedy obrátit k němu a u něj najde pokoj, utěšení, slávu a milost všeho.</w:t>
      </w:r>
    </w:p>
    <w:p w:rsid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Člověk, který chce nalézt bezpečí</w:t>
      </w:r>
      <w:r w:rsidR="00800934">
        <w:rPr>
          <w:rFonts w:ascii="Calibri" w:eastAsia="Calibri" w:hAnsi="Calibri"/>
          <w:color w:val="auto"/>
          <w:lang w:eastAsia="ar-SA"/>
        </w:rPr>
        <w:t>,</w:t>
      </w:r>
      <w:r w:rsidRPr="006A55D8">
        <w:rPr>
          <w:rFonts w:ascii="Calibri" w:eastAsia="Calibri" w:hAnsi="Calibri"/>
          <w:color w:val="auto"/>
          <w:lang w:eastAsia="ar-SA"/>
        </w:rPr>
        <w:t xml:space="preserve"> musí se zcela spolehnout na Krista, rezignovat. Není to rezignace v záporném slova smyslu, kdy si člověk zošklivil Boží řád věcí. Člověk by se měl navrátit do svého středu – centra (hlubina bezpečnosti), tady rezignuje-li, odevzdá-li se Bohu, bude z toho mít užitek (10 užitků) a poté s nadějí bude vzhlížet do budoucna.</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Čtvrté stádium: Didaktika</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Komenský opouští odhodlání pouze snášet útrapy. Rozhodne s nimi něco dělat. Rozhodující vliv na tuto činnost J. A. Komenského měli filosofové: M.</w:t>
      </w:r>
      <w:r w:rsidR="00800934">
        <w:rPr>
          <w:rFonts w:ascii="Calibri" w:eastAsia="Calibri" w:hAnsi="Calibri"/>
          <w:color w:val="auto"/>
          <w:lang w:eastAsia="ar-SA"/>
        </w:rPr>
        <w:t xml:space="preserve"> </w:t>
      </w:r>
      <w:proofErr w:type="spellStart"/>
      <w:r w:rsidRPr="006A55D8">
        <w:rPr>
          <w:rFonts w:ascii="Calibri" w:eastAsia="Calibri" w:hAnsi="Calibri"/>
          <w:color w:val="auto"/>
          <w:lang w:eastAsia="ar-SA"/>
        </w:rPr>
        <w:t>Kusánský</w:t>
      </w:r>
      <w:proofErr w:type="spellEnd"/>
      <w:r w:rsidRPr="006A55D8">
        <w:rPr>
          <w:rFonts w:ascii="Calibri" w:eastAsia="Calibri" w:hAnsi="Calibri"/>
          <w:color w:val="auto"/>
          <w:lang w:eastAsia="ar-SA"/>
        </w:rPr>
        <w:t xml:space="preserve">, T. </w:t>
      </w:r>
      <w:proofErr w:type="spellStart"/>
      <w:r w:rsidRPr="006A55D8">
        <w:rPr>
          <w:rFonts w:ascii="Calibri" w:eastAsia="Calibri" w:hAnsi="Calibri"/>
          <w:color w:val="auto"/>
          <w:lang w:eastAsia="ar-SA"/>
        </w:rPr>
        <w:t>Cam</w:t>
      </w:r>
      <w:r w:rsidR="00800934">
        <w:rPr>
          <w:rFonts w:ascii="Calibri" w:eastAsia="Calibri" w:hAnsi="Calibri"/>
          <w:color w:val="auto"/>
          <w:lang w:eastAsia="ar-SA"/>
        </w:rPr>
        <w:t>panella</w:t>
      </w:r>
      <w:proofErr w:type="spellEnd"/>
      <w:r w:rsidR="00800934">
        <w:rPr>
          <w:rFonts w:ascii="Calibri" w:eastAsia="Calibri" w:hAnsi="Calibri"/>
          <w:color w:val="auto"/>
          <w:lang w:eastAsia="ar-SA"/>
        </w:rPr>
        <w:t xml:space="preserve"> a F. </w:t>
      </w:r>
      <w:proofErr w:type="spellStart"/>
      <w:r w:rsidR="00800934">
        <w:rPr>
          <w:rFonts w:ascii="Calibri" w:eastAsia="Calibri" w:hAnsi="Calibri"/>
          <w:color w:val="auto"/>
          <w:lang w:eastAsia="ar-SA"/>
        </w:rPr>
        <w:t>Bacon</w:t>
      </w:r>
      <w:proofErr w:type="spellEnd"/>
      <w:r w:rsidR="00800934">
        <w:rPr>
          <w:rFonts w:ascii="Calibri" w:eastAsia="Calibri" w:hAnsi="Calibri"/>
          <w:color w:val="auto"/>
          <w:lang w:eastAsia="ar-SA"/>
        </w:rPr>
        <w:t>, jehož metod</w:t>
      </w:r>
      <w:r w:rsidRPr="006A55D8">
        <w:rPr>
          <w:rFonts w:ascii="Calibri" w:eastAsia="Calibri" w:hAnsi="Calibri"/>
          <w:color w:val="auto"/>
          <w:lang w:eastAsia="ar-SA"/>
        </w:rPr>
        <w:t xml:space="preserve">u indukce nepřijal Komenský beze zbytku. Vytváří díla: Brána jazyků otevřená, </w:t>
      </w:r>
      <w:r w:rsidRPr="006A55D8">
        <w:rPr>
          <w:rFonts w:ascii="Calibri" w:eastAsia="Calibri" w:hAnsi="Calibri"/>
          <w:color w:val="auto"/>
          <w:lang w:eastAsia="ar-SA"/>
        </w:rPr>
        <w:lastRenderedPageBreak/>
        <w:t>Didaktika česká, Didaktika velká. Obě Didaktiky jsou v zásadě stejně strukturovány a mají 4 základní části: 1) Provolání a úvod do všeobecné pedagogiky; 2) všeobecná didaktika; 3) vzdělání v oblasti mravní; 4) organizace vzdělávacího systému jako celku.</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 xml:space="preserve">  Ad 1) J.</w:t>
      </w:r>
      <w:r w:rsidR="00800934">
        <w:rPr>
          <w:rFonts w:ascii="Calibri" w:eastAsia="Calibri" w:hAnsi="Calibri"/>
          <w:color w:val="auto"/>
          <w:lang w:eastAsia="ar-SA"/>
        </w:rPr>
        <w:t xml:space="preserve"> </w:t>
      </w:r>
      <w:r w:rsidRPr="006A55D8">
        <w:rPr>
          <w:rFonts w:ascii="Calibri" w:eastAsia="Calibri" w:hAnsi="Calibri"/>
          <w:color w:val="auto"/>
          <w:lang w:eastAsia="ar-SA"/>
        </w:rPr>
        <w:t>A. Komenský ukazuje</w:t>
      </w:r>
      <w:r w:rsidR="00800934">
        <w:rPr>
          <w:rFonts w:ascii="Calibri" w:eastAsia="Calibri" w:hAnsi="Calibri"/>
          <w:color w:val="auto"/>
          <w:lang w:eastAsia="ar-SA"/>
        </w:rPr>
        <w:t>,</w:t>
      </w:r>
      <w:r w:rsidRPr="006A55D8">
        <w:rPr>
          <w:rFonts w:ascii="Calibri" w:eastAsia="Calibri" w:hAnsi="Calibri"/>
          <w:color w:val="auto"/>
          <w:lang w:eastAsia="ar-SA"/>
        </w:rPr>
        <w:t xml:space="preserve"> v jakém stavu se člověk nachází. Tělo i duše je vydáno strastem. Člověk by měl být upřímným a ne lstivý a falešný. Místo přízně je závistivý a nenávistný. Měl by být spravedlivý a ne loupeživý, krást a činit křivdy. Pravdomluvný a ne lživý, pomlouvačný. Pokorný a ne vychloubačný (a další). Proto je důležité, aby člověk byl vzdělaný a zejména pak mládež. Člověk by měl poznat sám sebe, vážit si toho, že Bůh se v Ježíši Kristu stal člověkem. Cílem lidské bytosti je věčná blaženost s Bohem. Aby toho člověk dosáhl, musí naplnit své poslání. Z toho plyne podle J. A. Komenského tři hlavní úkoly dané člověku. Zaprvé být rozumnou bytostí – být pozorovatelem, pozorovatelem všeho, rozumět všemu co svět má. Za druhé být pánem stvoření – mezi tvory si vést pansky tj. vážně a ctnostně, chránit svoji důstojnost, umět rozumně ovládat pohyby i čivy. Za třetí být obrazem Božím – obracet se k Bohu srdcem, obracet se na něj se všemi problémy. Obnova původního stavu lidských bytostí tvoří celkový cíl veškeré Komenského didaktiky. Člověk je nejen bytost vzdělavatelná, ale rovněž bytost, která vzdělání potřebuje, má-li se člověk stát člověkem, musí být vzděláván, a to v co nejútlejším věku a všichni. Člověk by měl být dále všeobecně vzdělaný, tj. znát základy a příčiny všeho co je a co se děje. </w:t>
      </w:r>
    </w:p>
    <w:p w:rsidR="006A55D8" w:rsidRPr="006A55D8" w:rsidRDefault="00800934"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Pr>
          <w:rFonts w:ascii="Calibri" w:eastAsia="Calibri" w:hAnsi="Calibri"/>
          <w:color w:val="auto"/>
          <w:lang w:eastAsia="ar-SA"/>
        </w:rPr>
        <w:t xml:space="preserve">Ad 2) Je zde popsán princip </w:t>
      </w:r>
      <w:r w:rsidR="006A55D8" w:rsidRPr="006A55D8">
        <w:rPr>
          <w:rFonts w:ascii="Calibri" w:eastAsia="Calibri" w:hAnsi="Calibri"/>
          <w:color w:val="auto"/>
          <w:lang w:eastAsia="ar-SA"/>
        </w:rPr>
        <w:t>didaktiky (3 soubory – vyučování učinit jisté, snadné a důkladné).</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Ad 3) Člověk by měl být nejen vzdělaný, ale i mravný.  Komenský popisuje čtyři tradiční ctnosti: opatrnost, umírněnost, udatnost a spravedlnost. Komenský jednotlivé ctnosti</w:t>
      </w:r>
      <w:r w:rsidR="00800934">
        <w:rPr>
          <w:rFonts w:ascii="Calibri" w:eastAsia="Calibri" w:hAnsi="Calibri"/>
          <w:color w:val="auto"/>
          <w:lang w:eastAsia="ar-SA"/>
        </w:rPr>
        <w:t xml:space="preserve"> objasňuje a rozvádí a ukazuje </w:t>
      </w:r>
      <w:r w:rsidRPr="006A55D8">
        <w:rPr>
          <w:rFonts w:ascii="Calibri" w:eastAsia="Calibri" w:hAnsi="Calibri"/>
          <w:color w:val="auto"/>
          <w:lang w:eastAsia="ar-SA"/>
        </w:rPr>
        <w:t>způsob jejich nabytí v 10 zásadách.</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 se pěstuje skutky a ne řečmi</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 získáváme kontaktem s ctnostnými lidmi</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 se pěstuje činnou vytrvalostí, nikoli zahálkou</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Jádrem všech ctností je služba druhým</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 se pěstuje od útlého věku</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 se učí ctnostným jednáním (jako chodit chůzí)</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Ctnosti se učí příkladem (např. vychovatelem)</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Ctnostem se učí poučováním (objasňováním smyslu daného pravidla)</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Děti střežíme před špatnými lidmi a vlivy</w:t>
      </w:r>
    </w:p>
    <w:p w:rsidR="006A55D8" w:rsidRPr="006A55D8" w:rsidRDefault="006A55D8" w:rsidP="006A55D8">
      <w:pPr>
        <w:numPr>
          <w:ilvl w:val="0"/>
          <w:numId w:val="8"/>
        </w:numPr>
        <w:suppressAutoHyphens/>
        <w:overflowPunct/>
        <w:autoSpaceDE/>
        <w:autoSpaceDN/>
        <w:adjustRightInd/>
        <w:spacing w:after="200" w:line="276" w:lineRule="auto"/>
        <w:jc w:val="left"/>
        <w:textAlignment w:val="auto"/>
        <w:rPr>
          <w:rFonts w:ascii="Calibri" w:eastAsia="Calibri" w:hAnsi="Calibri"/>
          <w:color w:val="auto"/>
          <w:lang w:eastAsia="ar-SA"/>
        </w:rPr>
      </w:pPr>
      <w:r w:rsidRPr="006A55D8">
        <w:rPr>
          <w:rFonts w:ascii="Calibri" w:eastAsia="Calibri" w:hAnsi="Calibri"/>
          <w:color w:val="auto"/>
          <w:lang w:eastAsia="ar-SA"/>
        </w:rPr>
        <w:t xml:space="preserve">Ctnost vyžaduje kázeň (bližší rozbor metody káznění předkládá Komenský v kapitole XXVI) </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lastRenderedPageBreak/>
        <w:t>Člověk by měl být dle Komenského dále zbožným a to ruku v ruce s mravností. Člověk by měl být ukázněný. Pokud není ukázněný, musí být ukázněn, a to řeší Komenský v kapitole XXVI. Základní moto zní: „Škola bez kázně, mlýn bez vody.“ Kázeň musí probíhat bez vášně, hněvu a nenávisti. Jak vychovatel, tak vychovávaný musí vědět, proč ke kázni dochází.</w:t>
      </w:r>
    </w:p>
    <w:p w:rsidR="006A55D8" w:rsidRDefault="00800934"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Pr>
          <w:rFonts w:ascii="Calibri" w:eastAsia="Calibri" w:hAnsi="Calibri"/>
          <w:color w:val="auto"/>
          <w:lang w:eastAsia="ar-SA"/>
        </w:rPr>
        <w:t>Ad 4) Komenský čerpá</w:t>
      </w:r>
      <w:r w:rsidR="006A55D8" w:rsidRPr="006A55D8">
        <w:rPr>
          <w:rFonts w:ascii="Calibri" w:eastAsia="Calibri" w:hAnsi="Calibri"/>
          <w:color w:val="auto"/>
          <w:lang w:eastAsia="ar-SA"/>
        </w:rPr>
        <w:t xml:space="preserve"> z přírody a popisuje čtyři hlavní stádia růstu mladých lidí (ško</w:t>
      </w:r>
      <w:r>
        <w:rPr>
          <w:rFonts w:ascii="Calibri" w:eastAsia="Calibri" w:hAnsi="Calibri"/>
          <w:color w:val="auto"/>
          <w:lang w:eastAsia="ar-SA"/>
        </w:rPr>
        <w:t>la mateřská, obecná, latinská a</w:t>
      </w:r>
      <w:r w:rsidR="006A55D8" w:rsidRPr="006A55D8">
        <w:rPr>
          <w:rFonts w:ascii="Calibri" w:eastAsia="Calibri" w:hAnsi="Calibri"/>
          <w:color w:val="auto"/>
          <w:lang w:eastAsia="ar-SA"/>
        </w:rPr>
        <w:t xml:space="preserve"> akademická) Novátorská koncepce tkví v tom, že na všech stupních školy jsou stejné osnovy – obsah a forma vědění. Rozdíl v jednotlivých stupních spočívá hlavně v množství a způsobu, v němž je vědění zprostředkováno studujícím. Komenský upozorňuje na to, že k realizaci projektů vzdělávání je potřeba spolupráce hlavních vládců národa.</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sz w:val="28"/>
          <w:szCs w:val="28"/>
          <w:lang w:eastAsia="ar-SA"/>
        </w:rPr>
      </w:pPr>
      <w:r w:rsidRPr="006A55D8">
        <w:rPr>
          <w:rFonts w:ascii="Calibri" w:eastAsia="Calibri" w:hAnsi="Calibri"/>
          <w:color w:val="auto"/>
          <w:sz w:val="28"/>
          <w:szCs w:val="28"/>
          <w:lang w:eastAsia="ar-SA"/>
        </w:rPr>
        <w:t>Stádium Pansofie</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K</w:t>
      </w:r>
      <w:r w:rsidR="00800934">
        <w:rPr>
          <w:rFonts w:ascii="Calibri" w:eastAsia="Calibri" w:hAnsi="Calibri"/>
          <w:color w:val="auto"/>
          <w:lang w:eastAsia="ar-SA"/>
        </w:rPr>
        <w:t>omenskému trvalo určitý čas, než</w:t>
      </w:r>
      <w:r w:rsidRPr="006A55D8">
        <w:rPr>
          <w:rFonts w:ascii="Calibri" w:eastAsia="Calibri" w:hAnsi="Calibri"/>
          <w:color w:val="auto"/>
          <w:lang w:eastAsia="ar-SA"/>
        </w:rPr>
        <w:t xml:space="preserve"> si uvědomil univerzální potenciál svých vzdělávacích projektů (Didaktika česká – překlad do latiny). Zrodila se myšlenka globálního řádu světa (Obecná porada o nápravě věcí lidských). Z toho vyplývá, že otázka „Kdo je člověk a kdo má být“ je rozšířena na lidstvo samé nikoli na českého člověka. </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sz w:val="28"/>
          <w:szCs w:val="28"/>
          <w:lang w:eastAsia="ar-SA"/>
        </w:rPr>
        <w:t>Shrnutí:</w:t>
      </w:r>
      <w:r w:rsidRPr="006A55D8">
        <w:rPr>
          <w:rFonts w:ascii="Calibri" w:eastAsia="Calibri" w:hAnsi="Calibri"/>
          <w:color w:val="auto"/>
          <w:lang w:eastAsia="ar-SA"/>
        </w:rPr>
        <w:t xml:space="preserve"> </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 xml:space="preserve">Pět etap Komenského myšlení (encyklopedické, kritické, útěšné, didaktické, pansofické) koresponduje s antropologickými akcenty – úžas, kritičnost, rezignace, edukace, emendace. V Komenského vývoji je člověk jako bytost žasnoucího pozorovatele, potom jako kritika utrpení a zároveň utěšitele, dále jako člověka, který se učí a nakonec jako obnovitel univerzální. </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sz w:val="28"/>
          <w:szCs w:val="28"/>
          <w:lang w:eastAsia="ar-SA"/>
        </w:rPr>
        <w:t>Závěr:</w:t>
      </w:r>
      <w:r w:rsidRPr="006A55D8">
        <w:rPr>
          <w:rFonts w:ascii="Calibri" w:eastAsia="Calibri" w:hAnsi="Calibri"/>
          <w:color w:val="auto"/>
          <w:lang w:eastAsia="ar-SA"/>
        </w:rPr>
        <w:t xml:space="preserve"> </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bookmarkStart w:id="0" w:name="_GoBack"/>
      <w:bookmarkEnd w:id="0"/>
      <w:r w:rsidRPr="006A55D8">
        <w:rPr>
          <w:rFonts w:ascii="Calibri" w:eastAsia="Calibri" w:hAnsi="Calibri"/>
          <w:color w:val="auto"/>
          <w:lang w:eastAsia="ar-SA"/>
        </w:rPr>
        <w:t>I přesto, že jsem věřící, myslím si, že se názory Komenského na to, „jaký je člověk a jaký má být“ mnoho lidí neřídí a že jsou z pohledu dějin nadčasové. Mnoho názorů J. A. Komenského je použitelných i pro dnešní dobu. Mnoho lidí v naší současné společnosti české, ale i světové by se mělo z jeho názorů poučit a nejen to, hlavně se jimi řídit.</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noProof/>
          <w:color w:val="auto"/>
        </w:rPr>
        <w:lastRenderedPageBreak/>
        <w:drawing>
          <wp:inline distT="0" distB="0" distL="0" distR="0">
            <wp:extent cx="2047875" cy="2352675"/>
            <wp:effectExtent l="19050" t="0" r="9525" b="0"/>
            <wp:docPr id="9" name="Obrázek 9" descr="imag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s"/>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7875" cy="2352675"/>
                    </a:xfrm>
                    <a:prstGeom prst="rect">
                      <a:avLst/>
                    </a:prstGeom>
                    <a:noFill/>
                    <a:ln>
                      <a:noFill/>
                    </a:ln>
                  </pic:spPr>
                </pic:pic>
              </a:graphicData>
            </a:graphic>
          </wp:inline>
        </w:drawing>
      </w:r>
      <w:r w:rsidRPr="006A55D8">
        <w:rPr>
          <w:rFonts w:ascii="Calibri" w:eastAsia="Calibri" w:hAnsi="Calibri"/>
          <w:noProof/>
          <w:color w:val="auto"/>
          <w:sz w:val="22"/>
          <w:szCs w:val="22"/>
        </w:rPr>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1943100" cy="2343150"/>
            <wp:effectExtent l="19050" t="0" r="0" b="0"/>
            <wp:wrapSquare wrapText="right"/>
            <wp:docPr id="10" name="Obrázek 10" descr="stažený soub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žený soubor"/>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3100" cy="2343150"/>
                    </a:xfrm>
                    <a:prstGeom prst="rect">
                      <a:avLst/>
                    </a:prstGeom>
                    <a:noFill/>
                    <a:ln>
                      <a:noFill/>
                    </a:ln>
                  </pic:spPr>
                </pic:pic>
              </a:graphicData>
            </a:graphic>
          </wp:anchor>
        </w:drawing>
      </w:r>
      <w:r w:rsidRPr="006A55D8">
        <w:rPr>
          <w:rFonts w:ascii="Calibri" w:eastAsia="Calibri" w:hAnsi="Calibri"/>
          <w:color w:val="auto"/>
          <w:lang w:eastAsia="ar-SA"/>
        </w:rPr>
        <w:br w:type="textWrapping" w:clear="all"/>
      </w:r>
      <w:r w:rsidRPr="006A55D8">
        <w:rPr>
          <w:rFonts w:ascii="Calibri" w:eastAsia="Calibri" w:hAnsi="Calibri"/>
          <w:noProof/>
          <w:color w:val="auto"/>
        </w:rPr>
        <w:drawing>
          <wp:inline distT="0" distB="0" distL="0" distR="0">
            <wp:extent cx="4752975" cy="2838450"/>
            <wp:effectExtent l="19050" t="0" r="9525" b="0"/>
            <wp:docPr id="8" name="Obrázek 8" descr="stažený soubor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ažený soubor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52975" cy="2838450"/>
                    </a:xfrm>
                    <a:prstGeom prst="rect">
                      <a:avLst/>
                    </a:prstGeom>
                    <a:noFill/>
                    <a:ln>
                      <a:noFill/>
                    </a:ln>
                  </pic:spPr>
                </pic:pic>
              </a:graphicData>
            </a:graphic>
          </wp:inline>
        </w:drawing>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r w:rsidRPr="006A55D8">
        <w:rPr>
          <w:rFonts w:ascii="Calibri" w:eastAsia="Calibri" w:hAnsi="Calibri"/>
          <w:color w:val="auto"/>
          <w:lang w:eastAsia="ar-SA"/>
        </w:rPr>
        <w:t xml:space="preserve"> </w:t>
      </w: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lang w:eastAsia="ar-SA"/>
        </w:rPr>
      </w:pPr>
    </w:p>
    <w:p w:rsidR="006A55D8" w:rsidRPr="006A55D8" w:rsidRDefault="006A55D8" w:rsidP="006A55D8">
      <w:pPr>
        <w:suppressAutoHyphens/>
        <w:overflowPunct/>
        <w:autoSpaceDE/>
        <w:autoSpaceDN/>
        <w:adjustRightInd/>
        <w:spacing w:after="200" w:line="276" w:lineRule="auto"/>
        <w:ind w:firstLine="0"/>
        <w:textAlignment w:val="auto"/>
        <w:rPr>
          <w:rFonts w:ascii="Calibri" w:eastAsia="Calibri" w:hAnsi="Calibri"/>
          <w:color w:val="auto"/>
          <w:sz w:val="22"/>
          <w:szCs w:val="22"/>
          <w:lang w:eastAsia="ar-SA"/>
        </w:rPr>
      </w:pPr>
    </w:p>
    <w:sectPr w:rsidR="006A55D8" w:rsidRPr="006A55D8" w:rsidSect="00FF1D80">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D15" w:rsidRDefault="00664D15" w:rsidP="00A84231">
      <w:pPr>
        <w:spacing w:line="240" w:lineRule="auto"/>
      </w:pPr>
      <w:r>
        <w:separator/>
      </w:r>
    </w:p>
  </w:endnote>
  <w:endnote w:type="continuationSeparator" w:id="0">
    <w:p w:rsidR="00664D15" w:rsidRDefault="00664D15" w:rsidP="00A8423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Arabic Typesetting">
    <w:altName w:val="Courier New"/>
    <w:charset w:val="EE"/>
    <w:family w:val="script"/>
    <w:pitch w:val="variable"/>
    <w:sig w:usb0="00000000" w:usb1="C0000000" w:usb2="00000008" w:usb3="00000000" w:csb0="000000D3"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231" w:rsidRDefault="00A84231" w:rsidP="00A84231">
    <w:pPr>
      <w:pStyle w:val="Zpat"/>
      <w:jc w:val="center"/>
    </w:pPr>
    <w:r>
      <w:rPr>
        <w:noProof/>
        <w:sz w:val="16"/>
        <w:szCs w:val="16"/>
      </w:rPr>
      <w:drawing>
        <wp:anchor distT="0" distB="0" distL="114300" distR="114300" simplePos="0" relativeHeight="251661312" behindDoc="0" locked="0" layoutInCell="1" allowOverlap="1">
          <wp:simplePos x="0" y="0"/>
          <wp:positionH relativeFrom="column">
            <wp:posOffset>5472430</wp:posOffset>
          </wp:positionH>
          <wp:positionV relativeFrom="paragraph">
            <wp:posOffset>9550400</wp:posOffset>
          </wp:positionV>
          <wp:extent cx="1493520" cy="791845"/>
          <wp:effectExtent l="0" t="0" r="0" b="8255"/>
          <wp:wrapNone/>
          <wp:docPr id="4" name="Obrázek 4"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3520" cy="791845"/>
                  </a:xfrm>
                  <a:prstGeom prst="rect">
                    <a:avLst/>
                  </a:prstGeom>
                  <a:noFill/>
                  <a:ln>
                    <a:noFill/>
                  </a:ln>
                </pic:spPr>
              </pic:pic>
            </a:graphicData>
          </a:graphic>
        </wp:anchor>
      </w:drawing>
    </w:r>
    <w:r>
      <w:rPr>
        <w:noProof/>
        <w:sz w:val="16"/>
        <w:szCs w:val="16"/>
      </w:rPr>
      <w:drawing>
        <wp:anchor distT="0" distB="0" distL="114300" distR="114300" simplePos="0" relativeHeight="251660288" behindDoc="1" locked="0" layoutInCell="1" allowOverlap="1">
          <wp:simplePos x="0" y="0"/>
          <wp:positionH relativeFrom="column">
            <wp:posOffset>5467350</wp:posOffset>
          </wp:positionH>
          <wp:positionV relativeFrom="paragraph">
            <wp:posOffset>9550400</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Pr="00664B28">
      <w:rPr>
        <w:sz w:val="16"/>
        <w:szCs w:val="16"/>
      </w:rPr>
      <w:t>Tento projekt je spolufinancován Evropským sociálním fondem a státním rozpočtem České republiky</w:t>
    </w:r>
    <w:r>
      <w:rPr>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D15" w:rsidRDefault="00664D15" w:rsidP="00A84231">
      <w:pPr>
        <w:spacing w:line="240" w:lineRule="auto"/>
      </w:pPr>
      <w:r>
        <w:separator/>
      </w:r>
    </w:p>
  </w:footnote>
  <w:footnote w:type="continuationSeparator" w:id="0">
    <w:p w:rsidR="00664D15" w:rsidRDefault="00664D15" w:rsidP="00A8423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231" w:rsidRDefault="00A84231">
    <w:pPr>
      <w:pStyle w:val="Zhlav"/>
    </w:pPr>
    <w:r>
      <w:rPr>
        <w:noProof/>
      </w:rPr>
      <w:drawing>
        <wp:anchor distT="0" distB="0" distL="114300" distR="114300" simplePos="0" relativeHeight="251658240" behindDoc="1" locked="0" layoutInCell="1" allowOverlap="1">
          <wp:simplePos x="0" y="0"/>
          <wp:positionH relativeFrom="column">
            <wp:posOffset>-1905</wp:posOffset>
          </wp:positionH>
          <wp:positionV relativeFrom="paragraph">
            <wp:posOffset>-381000</wp:posOffset>
          </wp:positionV>
          <wp:extent cx="3656965" cy="801370"/>
          <wp:effectExtent l="0" t="0" r="635" b="0"/>
          <wp:wrapTight wrapText="bothSides">
            <wp:wrapPolygon edited="0">
              <wp:start x="0" y="0"/>
              <wp:lineTo x="0" y="21052"/>
              <wp:lineTo x="21491" y="21052"/>
              <wp:lineTo x="21491" y="0"/>
              <wp:lineTo x="0" y="0"/>
            </wp:wrapPolygon>
          </wp:wrapTight>
          <wp:docPr id="1" name="Obrázek 1"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estice-do-rozvoje-vzdelavani-msm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4105275</wp:posOffset>
          </wp:positionH>
          <wp:positionV relativeFrom="paragraph">
            <wp:posOffset>-266065</wp:posOffset>
          </wp:positionV>
          <wp:extent cx="1828800" cy="533400"/>
          <wp:effectExtent l="0" t="0" r="0" b="0"/>
          <wp:wrapTight wrapText="bothSides">
            <wp:wrapPolygon edited="0">
              <wp:start x="0" y="0"/>
              <wp:lineTo x="0" y="20829"/>
              <wp:lineTo x="21375" y="20829"/>
              <wp:lineTo x="21375" y="0"/>
              <wp:lineTo x="0" y="0"/>
            </wp:wrapPolygon>
          </wp:wrapTight>
          <wp:docPr id="2" name="Obrázek 2"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xed_color_large_1730x500-e140569003696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53340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2F3363F4"/>
    <w:multiLevelType w:val="hybridMultilevel"/>
    <w:tmpl w:val="C4D26080"/>
    <w:lvl w:ilvl="0" w:tplc="71E490A6">
      <w:start w:val="1"/>
      <w:numFmt w:val="decimal"/>
      <w:lvlText w:val="%1."/>
      <w:lvlJc w:val="left"/>
      <w:pPr>
        <w:ind w:left="720" w:hanging="360"/>
      </w:pPr>
    </w:lvl>
    <w:lvl w:ilvl="1" w:tplc="C54C668C">
      <w:start w:val="1"/>
      <w:numFmt w:val="lowerLetter"/>
      <w:lvlText w:val="%2."/>
      <w:lvlJc w:val="left"/>
      <w:pPr>
        <w:ind w:left="1440" w:hanging="360"/>
      </w:pPr>
    </w:lvl>
    <w:lvl w:ilvl="2" w:tplc="91A261F2">
      <w:start w:val="1"/>
      <w:numFmt w:val="lowerRoman"/>
      <w:lvlText w:val="%3."/>
      <w:lvlJc w:val="right"/>
      <w:pPr>
        <w:ind w:left="2160" w:hanging="180"/>
      </w:pPr>
    </w:lvl>
    <w:lvl w:ilvl="3" w:tplc="202EC75E">
      <w:start w:val="1"/>
      <w:numFmt w:val="decimal"/>
      <w:lvlText w:val="%4."/>
      <w:lvlJc w:val="left"/>
      <w:pPr>
        <w:ind w:left="2880" w:hanging="360"/>
      </w:pPr>
    </w:lvl>
    <w:lvl w:ilvl="4" w:tplc="E0B29BD6">
      <w:start w:val="1"/>
      <w:numFmt w:val="lowerLetter"/>
      <w:lvlText w:val="%5."/>
      <w:lvlJc w:val="left"/>
      <w:pPr>
        <w:ind w:left="3600" w:hanging="360"/>
      </w:pPr>
    </w:lvl>
    <w:lvl w:ilvl="5" w:tplc="0C00BAC8">
      <w:start w:val="1"/>
      <w:numFmt w:val="lowerRoman"/>
      <w:lvlText w:val="%6."/>
      <w:lvlJc w:val="right"/>
      <w:pPr>
        <w:ind w:left="4320" w:hanging="180"/>
      </w:pPr>
    </w:lvl>
    <w:lvl w:ilvl="6" w:tplc="1AAA44FA">
      <w:start w:val="1"/>
      <w:numFmt w:val="decimal"/>
      <w:lvlText w:val="%7."/>
      <w:lvlJc w:val="left"/>
      <w:pPr>
        <w:ind w:left="5040" w:hanging="360"/>
      </w:pPr>
    </w:lvl>
    <w:lvl w:ilvl="7" w:tplc="7960BB24">
      <w:start w:val="1"/>
      <w:numFmt w:val="lowerLetter"/>
      <w:lvlText w:val="%8."/>
      <w:lvlJc w:val="left"/>
      <w:pPr>
        <w:ind w:left="5760" w:hanging="360"/>
      </w:pPr>
    </w:lvl>
    <w:lvl w:ilvl="8" w:tplc="E8A6B560">
      <w:start w:val="1"/>
      <w:numFmt w:val="lowerRoman"/>
      <w:lvlText w:val="%9."/>
      <w:lvlJc w:val="right"/>
      <w:pPr>
        <w:ind w:left="6480" w:hanging="180"/>
      </w:pPr>
    </w:lvl>
  </w:abstractNum>
  <w:abstractNum w:abstractNumId="2">
    <w:nsid w:val="3F2B04BC"/>
    <w:multiLevelType w:val="hybridMultilevel"/>
    <w:tmpl w:val="C3FAC1E0"/>
    <w:lvl w:ilvl="0" w:tplc="21BC79A0">
      <w:start w:val="1"/>
      <w:numFmt w:val="decimal"/>
      <w:lvlText w:val="%1."/>
      <w:lvlJc w:val="left"/>
      <w:pPr>
        <w:ind w:left="720" w:hanging="360"/>
      </w:pPr>
    </w:lvl>
    <w:lvl w:ilvl="1" w:tplc="8E3636F2">
      <w:start w:val="1"/>
      <w:numFmt w:val="lowerLetter"/>
      <w:lvlText w:val="%2."/>
      <w:lvlJc w:val="left"/>
      <w:pPr>
        <w:ind w:left="1440" w:hanging="360"/>
      </w:pPr>
    </w:lvl>
    <w:lvl w:ilvl="2" w:tplc="39D042BC">
      <w:start w:val="1"/>
      <w:numFmt w:val="lowerRoman"/>
      <w:lvlText w:val="%3."/>
      <w:lvlJc w:val="right"/>
      <w:pPr>
        <w:ind w:left="2160" w:hanging="180"/>
      </w:pPr>
    </w:lvl>
    <w:lvl w:ilvl="3" w:tplc="7688D070">
      <w:start w:val="1"/>
      <w:numFmt w:val="decimal"/>
      <w:lvlText w:val="%4."/>
      <w:lvlJc w:val="left"/>
      <w:pPr>
        <w:ind w:left="2880" w:hanging="360"/>
      </w:pPr>
    </w:lvl>
    <w:lvl w:ilvl="4" w:tplc="EDC0A416">
      <w:start w:val="1"/>
      <w:numFmt w:val="lowerLetter"/>
      <w:lvlText w:val="%5."/>
      <w:lvlJc w:val="left"/>
      <w:pPr>
        <w:ind w:left="3600" w:hanging="360"/>
      </w:pPr>
    </w:lvl>
    <w:lvl w:ilvl="5" w:tplc="52E6B8A4">
      <w:start w:val="1"/>
      <w:numFmt w:val="lowerRoman"/>
      <w:lvlText w:val="%6."/>
      <w:lvlJc w:val="right"/>
      <w:pPr>
        <w:ind w:left="4320" w:hanging="180"/>
      </w:pPr>
    </w:lvl>
    <w:lvl w:ilvl="6" w:tplc="FFFC25C4">
      <w:start w:val="1"/>
      <w:numFmt w:val="decimal"/>
      <w:lvlText w:val="%7."/>
      <w:lvlJc w:val="left"/>
      <w:pPr>
        <w:ind w:left="5040" w:hanging="360"/>
      </w:pPr>
    </w:lvl>
    <w:lvl w:ilvl="7" w:tplc="1C76612E">
      <w:start w:val="1"/>
      <w:numFmt w:val="lowerLetter"/>
      <w:lvlText w:val="%8."/>
      <w:lvlJc w:val="left"/>
      <w:pPr>
        <w:ind w:left="5760" w:hanging="360"/>
      </w:pPr>
    </w:lvl>
    <w:lvl w:ilvl="8" w:tplc="9BC2DDCC">
      <w:start w:val="1"/>
      <w:numFmt w:val="lowerRoman"/>
      <w:lvlText w:val="%9."/>
      <w:lvlJc w:val="right"/>
      <w:pPr>
        <w:ind w:left="6480" w:hanging="180"/>
      </w:pPr>
    </w:lvl>
  </w:abstractNum>
  <w:abstractNum w:abstractNumId="3">
    <w:nsid w:val="4DB96582"/>
    <w:multiLevelType w:val="hybridMultilevel"/>
    <w:tmpl w:val="EF48431A"/>
    <w:lvl w:ilvl="0" w:tplc="CC986526">
      <w:start w:val="1"/>
      <w:numFmt w:val="decimal"/>
      <w:lvlText w:val="%1."/>
      <w:lvlJc w:val="left"/>
      <w:pPr>
        <w:ind w:left="720" w:hanging="360"/>
      </w:pPr>
    </w:lvl>
    <w:lvl w:ilvl="1" w:tplc="FF50568E">
      <w:start w:val="1"/>
      <w:numFmt w:val="lowerLetter"/>
      <w:lvlText w:val="%2."/>
      <w:lvlJc w:val="left"/>
      <w:pPr>
        <w:ind w:left="1440" w:hanging="360"/>
      </w:pPr>
    </w:lvl>
    <w:lvl w:ilvl="2" w:tplc="D8AE3A74">
      <w:start w:val="1"/>
      <w:numFmt w:val="lowerRoman"/>
      <w:lvlText w:val="%3."/>
      <w:lvlJc w:val="right"/>
      <w:pPr>
        <w:ind w:left="2160" w:hanging="180"/>
      </w:pPr>
    </w:lvl>
    <w:lvl w:ilvl="3" w:tplc="07C43B3E">
      <w:start w:val="1"/>
      <w:numFmt w:val="decimal"/>
      <w:lvlText w:val="%4."/>
      <w:lvlJc w:val="left"/>
      <w:pPr>
        <w:ind w:left="2880" w:hanging="360"/>
      </w:pPr>
    </w:lvl>
    <w:lvl w:ilvl="4" w:tplc="454E4A2E">
      <w:start w:val="1"/>
      <w:numFmt w:val="lowerLetter"/>
      <w:lvlText w:val="%5."/>
      <w:lvlJc w:val="left"/>
      <w:pPr>
        <w:ind w:left="3600" w:hanging="360"/>
      </w:pPr>
    </w:lvl>
    <w:lvl w:ilvl="5" w:tplc="24009DB6">
      <w:start w:val="1"/>
      <w:numFmt w:val="lowerRoman"/>
      <w:lvlText w:val="%6."/>
      <w:lvlJc w:val="right"/>
      <w:pPr>
        <w:ind w:left="4320" w:hanging="180"/>
      </w:pPr>
    </w:lvl>
    <w:lvl w:ilvl="6" w:tplc="B64620BC">
      <w:start w:val="1"/>
      <w:numFmt w:val="decimal"/>
      <w:lvlText w:val="%7."/>
      <w:lvlJc w:val="left"/>
      <w:pPr>
        <w:ind w:left="5040" w:hanging="360"/>
      </w:pPr>
    </w:lvl>
    <w:lvl w:ilvl="7" w:tplc="2D184580">
      <w:start w:val="1"/>
      <w:numFmt w:val="lowerLetter"/>
      <w:lvlText w:val="%8."/>
      <w:lvlJc w:val="left"/>
      <w:pPr>
        <w:ind w:left="5760" w:hanging="360"/>
      </w:pPr>
    </w:lvl>
    <w:lvl w:ilvl="8" w:tplc="92CE93E6">
      <w:start w:val="1"/>
      <w:numFmt w:val="lowerRoman"/>
      <w:lvlText w:val="%9."/>
      <w:lvlJc w:val="right"/>
      <w:pPr>
        <w:ind w:left="6480" w:hanging="180"/>
      </w:pPr>
    </w:lvl>
  </w:abstractNum>
  <w:abstractNum w:abstractNumId="4">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5">
    <w:nsid w:val="660528B5"/>
    <w:multiLevelType w:val="hybridMultilevel"/>
    <w:tmpl w:val="B5B09776"/>
    <w:lvl w:ilvl="0" w:tplc="20E44410">
      <w:start w:val="1"/>
      <w:numFmt w:val="decimal"/>
      <w:lvlText w:val="%1."/>
      <w:lvlJc w:val="left"/>
      <w:pPr>
        <w:ind w:left="720" w:hanging="360"/>
      </w:pPr>
    </w:lvl>
    <w:lvl w:ilvl="1" w:tplc="9EE8B562">
      <w:start w:val="1"/>
      <w:numFmt w:val="lowerLetter"/>
      <w:lvlText w:val="%2."/>
      <w:lvlJc w:val="left"/>
      <w:pPr>
        <w:ind w:left="1440" w:hanging="360"/>
      </w:pPr>
    </w:lvl>
    <w:lvl w:ilvl="2" w:tplc="1C9E3FEC">
      <w:start w:val="1"/>
      <w:numFmt w:val="lowerRoman"/>
      <w:lvlText w:val="%3."/>
      <w:lvlJc w:val="right"/>
      <w:pPr>
        <w:ind w:left="2160" w:hanging="180"/>
      </w:pPr>
    </w:lvl>
    <w:lvl w:ilvl="3" w:tplc="D2FC95CC">
      <w:start w:val="1"/>
      <w:numFmt w:val="decimal"/>
      <w:lvlText w:val="%4."/>
      <w:lvlJc w:val="left"/>
      <w:pPr>
        <w:ind w:left="2880" w:hanging="360"/>
      </w:pPr>
    </w:lvl>
    <w:lvl w:ilvl="4" w:tplc="5E347E76">
      <w:start w:val="1"/>
      <w:numFmt w:val="lowerLetter"/>
      <w:lvlText w:val="%5."/>
      <w:lvlJc w:val="left"/>
      <w:pPr>
        <w:ind w:left="3600" w:hanging="360"/>
      </w:pPr>
    </w:lvl>
    <w:lvl w:ilvl="5" w:tplc="1D4C4CB4">
      <w:start w:val="1"/>
      <w:numFmt w:val="lowerRoman"/>
      <w:lvlText w:val="%6."/>
      <w:lvlJc w:val="right"/>
      <w:pPr>
        <w:ind w:left="4320" w:hanging="180"/>
      </w:pPr>
    </w:lvl>
    <w:lvl w:ilvl="6" w:tplc="0AFE0BA2">
      <w:start w:val="1"/>
      <w:numFmt w:val="decimal"/>
      <w:lvlText w:val="%7."/>
      <w:lvlJc w:val="left"/>
      <w:pPr>
        <w:ind w:left="5040" w:hanging="360"/>
      </w:pPr>
    </w:lvl>
    <w:lvl w:ilvl="7" w:tplc="8026CF96">
      <w:start w:val="1"/>
      <w:numFmt w:val="lowerLetter"/>
      <w:lvlText w:val="%8."/>
      <w:lvlJc w:val="left"/>
      <w:pPr>
        <w:ind w:left="5760" w:hanging="360"/>
      </w:pPr>
    </w:lvl>
    <w:lvl w:ilvl="8" w:tplc="4704CFAC">
      <w:start w:val="1"/>
      <w:numFmt w:val="lowerRoman"/>
      <w:lvlText w:val="%9."/>
      <w:lvlJc w:val="right"/>
      <w:pPr>
        <w:ind w:left="6480" w:hanging="180"/>
      </w:pPr>
    </w:lvl>
  </w:abstractNum>
  <w:abstractNum w:abstractNumId="6">
    <w:nsid w:val="78ED7146"/>
    <w:multiLevelType w:val="hybridMultilevel"/>
    <w:tmpl w:val="B074CCA8"/>
    <w:lvl w:ilvl="0" w:tplc="04050001">
      <w:start w:val="1"/>
      <w:numFmt w:val="bullet"/>
      <w:lvlText w:val=""/>
      <w:lvlJc w:val="left"/>
      <w:pPr>
        <w:ind w:left="720" w:hanging="360"/>
      </w:pPr>
      <w:rPr>
        <w:rFonts w:ascii="Symbol" w:hAnsi="Symbol" w:hint="default"/>
      </w:rPr>
    </w:lvl>
    <w:lvl w:ilvl="1" w:tplc="028893F0">
      <w:start w:val="3"/>
      <w:numFmt w:val="bullet"/>
      <w:lvlText w:val="-"/>
      <w:lvlJc w:val="left"/>
      <w:pPr>
        <w:ind w:left="1440" w:hanging="360"/>
      </w:pPr>
      <w:rPr>
        <w:rFonts w:ascii="Times New Roman" w:eastAsia="Times New Roman"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4"/>
  </w:num>
  <w:num w:numId="6">
    <w:abstractNumId w:val="6"/>
  </w:num>
  <w:num w:numId="7">
    <w:abstractNumId w:val="4"/>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A84231"/>
    <w:rsid w:val="00166255"/>
    <w:rsid w:val="002A6EC8"/>
    <w:rsid w:val="003E0387"/>
    <w:rsid w:val="00400141"/>
    <w:rsid w:val="00664D15"/>
    <w:rsid w:val="006A55D8"/>
    <w:rsid w:val="00786A24"/>
    <w:rsid w:val="007E30AD"/>
    <w:rsid w:val="00800934"/>
    <w:rsid w:val="00880BA6"/>
    <w:rsid w:val="008F0348"/>
    <w:rsid w:val="00A735B2"/>
    <w:rsid w:val="00A8003B"/>
    <w:rsid w:val="00A84231"/>
    <w:rsid w:val="00B8640F"/>
    <w:rsid w:val="00CA3C79"/>
    <w:rsid w:val="00CC66E7"/>
    <w:rsid w:val="00DA6877"/>
    <w:rsid w:val="00E510EF"/>
    <w:rsid w:val="00FF1D80"/>
    <w:rsid w:val="39200964"/>
    <w:rsid w:val="58257B17"/>
    <w:rsid w:val="787ADD5F"/>
    <w:rsid w:val="7A7A907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4231"/>
    <w:pPr>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84231"/>
    <w:pPr>
      <w:tabs>
        <w:tab w:val="center" w:pos="4536"/>
        <w:tab w:val="right" w:pos="9072"/>
      </w:tabs>
      <w:spacing w:line="240" w:lineRule="auto"/>
    </w:pPr>
  </w:style>
  <w:style w:type="character" w:customStyle="1" w:styleId="ZhlavChar">
    <w:name w:val="Záhlaví Char"/>
    <w:basedOn w:val="Standardnpsmoodstavce"/>
    <w:link w:val="Zhlav"/>
    <w:uiPriority w:val="99"/>
    <w:rsid w:val="00A84231"/>
  </w:style>
  <w:style w:type="paragraph" w:styleId="Zpat">
    <w:name w:val="footer"/>
    <w:basedOn w:val="Normln"/>
    <w:link w:val="ZpatChar"/>
    <w:uiPriority w:val="99"/>
    <w:unhideWhenUsed/>
    <w:rsid w:val="00A84231"/>
    <w:pPr>
      <w:tabs>
        <w:tab w:val="center" w:pos="4536"/>
        <w:tab w:val="right" w:pos="9072"/>
      </w:tabs>
      <w:spacing w:line="240" w:lineRule="auto"/>
    </w:pPr>
  </w:style>
  <w:style w:type="character" w:customStyle="1" w:styleId="ZpatChar">
    <w:name w:val="Zápatí Char"/>
    <w:basedOn w:val="Standardnpsmoodstavce"/>
    <w:link w:val="Zpat"/>
    <w:uiPriority w:val="99"/>
    <w:rsid w:val="00A84231"/>
  </w:style>
  <w:style w:type="paragraph" w:customStyle="1" w:styleId="Seznmek">
    <w:name w:val="Seznámek"/>
    <w:basedOn w:val="Normln"/>
    <w:uiPriority w:val="99"/>
    <w:rsid w:val="00A84231"/>
    <w:pPr>
      <w:keepLines/>
      <w:numPr>
        <w:numId w:val="5"/>
      </w:numPr>
      <w:spacing w:before="40" w:after="80" w:line="240" w:lineRule="auto"/>
    </w:pPr>
  </w:style>
  <w:style w:type="paragraph" w:styleId="Odstavecseseznamem">
    <w:name w:val="List Paragraph"/>
    <w:basedOn w:val="Normln"/>
    <w:uiPriority w:val="34"/>
    <w:qFormat/>
    <w:rsid w:val="00A84231"/>
    <w:pPr>
      <w:ind w:left="720"/>
      <w:contextualSpacing/>
    </w:pPr>
  </w:style>
  <w:style w:type="table" w:styleId="Mkatabulky">
    <w:name w:val="Table Grid"/>
    <w:basedOn w:val="Normlntabulka"/>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tabulkasmkou1zvraznn11">
    <w:name w:val="Světlá tabulka s mřížkou 1 – zvýraznění 11"/>
    <w:basedOn w:val="Normlntabulka"/>
    <w:uiPriority w:val="46"/>
    <w:rsid w:val="00FF1D80"/>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Textbubliny">
    <w:name w:val="Balloon Text"/>
    <w:basedOn w:val="Normln"/>
    <w:link w:val="TextbublinyChar"/>
    <w:uiPriority w:val="99"/>
    <w:semiHidden/>
    <w:unhideWhenUsed/>
    <w:rsid w:val="00400141"/>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00141"/>
    <w:rPr>
      <w:rFonts w:ascii="Tahoma" w:eastAsia="Times New Roman" w:hAnsi="Tahoma" w:cs="Tahoma"/>
      <w:color w:val="000000"/>
      <w:sz w:val="16"/>
      <w:szCs w:val="16"/>
      <w:lang w:eastAsia="cs-CZ"/>
    </w:rPr>
  </w:style>
  <w:style w:type="character" w:styleId="Hypertextovodkaz">
    <w:name w:val="Hyperlink"/>
    <w:basedOn w:val="Standardnpsmoodstavce"/>
    <w:uiPriority w:val="99"/>
    <w:unhideWhenUsed/>
    <w:rsid w:val="002A6EC8"/>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antikvariat11.cz/kniha/komensky-jan-amos-orbis-sensua-lium-pictus-quadrilinguis-198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http://www.zdravkanbk.cz/clanek.php?id=873&amp;sekce=skola"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loz.to/xhaEtpX/klatovy-komensky-desatero-jp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1735b9d-12e1-4051-9e9f-295790879a37">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20831A8568D9C641A1AFB06DB2CD73AC" ma:contentTypeVersion="2" ma:contentTypeDescription="Vytvoří nový dokument" ma:contentTypeScope="" ma:versionID="09817a5c2e743fd2df9e98b0e3665536">
  <xsd:schema xmlns:xsd="http://www.w3.org/2001/XMLSchema" xmlns:xs="http://www.w3.org/2001/XMLSchema" xmlns:p="http://schemas.microsoft.com/office/2006/metadata/properties" xmlns:ns2="d1735b9d-12e1-4051-9e9f-295790879a37" targetNamespace="http://schemas.microsoft.com/office/2006/metadata/properties" ma:root="true" ma:fieldsID="3ada4439b1a6c469911ceee3971aaae4" ns2:_="">
    <xsd:import namespace="d1735b9d-12e1-4051-9e9f-295790879a37"/>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735b9d-12e1-4051-9e9f-295790879a37"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FDF490-08E7-4717-8111-13EBDAF809FF}">
  <ds:schemaRefs>
    <ds:schemaRef ds:uri="http://schemas.microsoft.com/sharepoint/v3/contenttype/forms"/>
  </ds:schemaRefs>
</ds:datastoreItem>
</file>

<file path=customXml/itemProps2.xml><?xml version="1.0" encoding="utf-8"?>
<ds:datastoreItem xmlns:ds="http://schemas.openxmlformats.org/officeDocument/2006/customXml" ds:itemID="{6BECF42C-6B0C-43CB-8617-819521A9BDA6}">
  <ds:schemaRefs>
    <ds:schemaRef ds:uri="http://schemas.microsoft.com/office/2006/metadata/properties"/>
    <ds:schemaRef ds:uri="http://schemas.microsoft.com/office/infopath/2007/PartnerControls"/>
    <ds:schemaRef ds:uri="d1735b9d-12e1-4051-9e9f-295790879a37"/>
  </ds:schemaRefs>
</ds:datastoreItem>
</file>

<file path=customXml/itemProps3.xml><?xml version="1.0" encoding="utf-8"?>
<ds:datastoreItem xmlns:ds="http://schemas.openxmlformats.org/officeDocument/2006/customXml" ds:itemID="{0FC85709-1C47-4D5B-AB72-55D7EBF97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735b9d-12e1-4051-9e9f-295790879a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1395</Words>
  <Characters>8236</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Pitelková</dc:creator>
  <cp:keywords/>
  <dc:description/>
  <cp:lastModifiedBy>Dum</cp:lastModifiedBy>
  <cp:revision>2</cp:revision>
  <dcterms:created xsi:type="dcterms:W3CDTF">2015-08-04T17:40:00Z</dcterms:created>
  <dcterms:modified xsi:type="dcterms:W3CDTF">2015-08-04T17:40:00Z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0x01010020831A8568D9C641A1AFB06DB2CD73AC</vt:lpwstr>
  </property>
</Properties>
</file>