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9F1" w:rsidRDefault="006629F1">
      <w:pPr>
        <w:pStyle w:val="Vchoz"/>
        <w:jc w:val="right"/>
        <w:rPr>
          <w:sz w:val="40"/>
          <w:szCs w:val="40"/>
        </w:rPr>
      </w:pPr>
      <w:r>
        <w:rPr>
          <w:sz w:val="40"/>
          <w:szCs w:val="40"/>
        </w:rPr>
        <w:t>VY_32_INOVACE_14.03.52</w:t>
      </w:r>
    </w:p>
    <w:p w:rsidR="006629F1" w:rsidRDefault="006629F1">
      <w:pPr>
        <w:pStyle w:val="Vchoz"/>
        <w:jc w:val="center"/>
        <w:rPr>
          <w:sz w:val="40"/>
          <w:szCs w:val="40"/>
        </w:rPr>
      </w:pPr>
      <w:r>
        <w:rPr>
          <w:sz w:val="40"/>
          <w:szCs w:val="40"/>
        </w:rPr>
        <w:t>Základní škola 28. října Neratovice</w:t>
      </w:r>
    </w:p>
    <w:p w:rsidR="006629F1" w:rsidRDefault="006629F1">
      <w:pPr>
        <w:pStyle w:val="Vchoz"/>
        <w:jc w:val="center"/>
        <w:rPr>
          <w:rFonts w:cstheme="minorBidi"/>
        </w:rPr>
      </w:pPr>
    </w:p>
    <w:p w:rsidR="006629F1" w:rsidRDefault="006629F1">
      <w:pPr>
        <w:pStyle w:val="Vchoz"/>
        <w:jc w:val="center"/>
        <w:rPr>
          <w:rFonts w:cstheme="minorBidi"/>
        </w:rPr>
      </w:pPr>
      <w:r>
        <w:rPr>
          <w:rFonts w:cstheme="minorBidi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" o:spid="_x0000_i1025" type="#_x0000_t75" style="width:89.25pt;height:88.5pt;visibility:visible">
            <v:imagedata r:id="rId5" o:title=""/>
          </v:shape>
        </w:pict>
      </w:r>
    </w:p>
    <w:p w:rsidR="006629F1" w:rsidRDefault="006629F1">
      <w:pPr>
        <w:pStyle w:val="Vchoz"/>
        <w:jc w:val="center"/>
        <w:rPr>
          <w:rFonts w:cstheme="minorBidi"/>
        </w:rPr>
      </w:pPr>
      <w:r>
        <w:rPr>
          <w:sz w:val="40"/>
          <w:szCs w:val="40"/>
        </w:rPr>
        <w:t>Název projektu:   Škola plná nových nápadů</w:t>
      </w:r>
    </w:p>
    <w:p w:rsidR="006629F1" w:rsidRDefault="006629F1">
      <w:pPr>
        <w:pStyle w:val="Vchoz"/>
        <w:jc w:val="center"/>
        <w:rPr>
          <w:rFonts w:cstheme="minorBidi"/>
        </w:rPr>
      </w:pPr>
      <w:r>
        <w:rPr>
          <w:sz w:val="32"/>
          <w:szCs w:val="32"/>
        </w:rPr>
        <w:t>Registrační číslo: CZ 1.07/1.4.00/21.1519</w:t>
      </w:r>
    </w:p>
    <w:p w:rsidR="006629F1" w:rsidRDefault="006629F1">
      <w:pPr>
        <w:pStyle w:val="Vchoz"/>
        <w:jc w:val="center"/>
        <w:rPr>
          <w:rFonts w:cstheme="minorBidi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6629F1" w:rsidRDefault="006629F1">
      <w:pPr>
        <w:pStyle w:val="Vchoz"/>
        <w:rPr>
          <w:rFonts w:cstheme="minorBidi"/>
        </w:rPr>
      </w:pPr>
      <w:r>
        <w:rPr>
          <w:sz w:val="28"/>
          <w:szCs w:val="28"/>
        </w:rPr>
        <w:t>Název výukového materiálu:  Česká republika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t>Datum: září 2012</w:t>
      </w:r>
    </w:p>
    <w:p w:rsidR="006629F1" w:rsidRDefault="006629F1">
      <w:pPr>
        <w:pStyle w:val="Vchoz"/>
        <w:rPr>
          <w:rFonts w:cstheme="minorBidi"/>
        </w:rPr>
      </w:pPr>
      <w:r>
        <w:rPr>
          <w:sz w:val="28"/>
          <w:szCs w:val="28"/>
        </w:rPr>
        <w:t xml:space="preserve">Předmět:   Matematika </w:t>
      </w:r>
    </w:p>
    <w:p w:rsidR="006629F1" w:rsidRDefault="006629F1">
      <w:pPr>
        <w:pStyle w:val="Vchoz"/>
        <w:rPr>
          <w:rFonts w:cstheme="minorBidi"/>
        </w:rPr>
      </w:pPr>
      <w:r>
        <w:rPr>
          <w:sz w:val="28"/>
          <w:szCs w:val="28"/>
        </w:rPr>
        <w:t>Autor:  Ing. Lucie Hubínková</w:t>
      </w:r>
    </w:p>
    <w:p w:rsidR="006629F1" w:rsidRDefault="006629F1">
      <w:pPr>
        <w:pStyle w:val="Vchoz"/>
        <w:rPr>
          <w:rFonts w:cstheme="minorBidi"/>
        </w:rPr>
      </w:pPr>
      <w:r>
        <w:rPr>
          <w:sz w:val="28"/>
          <w:szCs w:val="28"/>
        </w:rPr>
        <w:t>Cílová skupina:  5. ročník</w:t>
      </w:r>
      <w:r>
        <w:rPr>
          <w:sz w:val="28"/>
          <w:szCs w:val="28"/>
        </w:rPr>
        <w:br/>
        <w:t xml:space="preserve">Anotace:  Pracovní list – Žáci vyhledají číslovky v textu. Číslovky seřadí vzestupně, určí zda se jedná o sudé či liché číslo. Poté čísla zaokrouhlí na desítky, stovky a tisícovky. </w:t>
      </w:r>
    </w:p>
    <w:p w:rsidR="006629F1" w:rsidRDefault="006629F1">
      <w:pPr>
        <w:pStyle w:val="NormalWeb"/>
        <w:jc w:val="center"/>
      </w:pPr>
    </w:p>
    <w:p w:rsidR="006629F1" w:rsidRDefault="006629F1">
      <w:pPr>
        <w:pStyle w:val="NormalWeb"/>
        <w:jc w:val="center"/>
      </w:pPr>
    </w:p>
    <w:p w:rsidR="006629F1" w:rsidRDefault="006629F1">
      <w:pPr>
        <w:pStyle w:val="NormalWeb"/>
        <w:jc w:val="center"/>
      </w:pPr>
    </w:p>
    <w:p w:rsidR="006629F1" w:rsidRDefault="006629F1">
      <w:pPr>
        <w:pStyle w:val="NormalWeb"/>
        <w:jc w:val="center"/>
      </w:pPr>
    </w:p>
    <w:p w:rsidR="006629F1" w:rsidRDefault="006629F1">
      <w:pPr>
        <w:pStyle w:val="NormalWeb"/>
        <w:jc w:val="center"/>
      </w:pPr>
    </w:p>
    <w:p w:rsidR="006629F1" w:rsidRDefault="006629F1">
      <w:pPr>
        <w:pStyle w:val="NormalWeb"/>
        <w:jc w:val="center"/>
      </w:pPr>
    </w:p>
    <w:p w:rsidR="006629F1" w:rsidRDefault="006629F1">
      <w:pPr>
        <w:pStyle w:val="NormalWeb"/>
        <w:jc w:val="center"/>
      </w:pPr>
    </w:p>
    <w:p w:rsidR="006629F1" w:rsidRDefault="006629F1">
      <w:pPr>
        <w:pStyle w:val="NormalWeb"/>
        <w:jc w:val="center"/>
      </w:pPr>
    </w:p>
    <w:p w:rsidR="006629F1" w:rsidRDefault="006629F1">
      <w:pPr>
        <w:pStyle w:val="NormalWeb"/>
        <w:jc w:val="center"/>
      </w:pPr>
    </w:p>
    <w:p w:rsidR="006629F1" w:rsidRDefault="006629F1">
      <w:pPr>
        <w:pStyle w:val="NormalWeb"/>
        <w:jc w:val="center"/>
      </w:pPr>
    </w:p>
    <w:p w:rsidR="006629F1" w:rsidRDefault="006629F1">
      <w:pPr>
        <w:pStyle w:val="NormalWeb"/>
        <w:jc w:val="center"/>
      </w:pPr>
    </w:p>
    <w:p w:rsidR="006629F1" w:rsidRDefault="006629F1">
      <w:pPr>
        <w:pStyle w:val="NormalWeb"/>
        <w:jc w:val="center"/>
      </w:pPr>
      <w:r>
        <w:rPr>
          <w:b/>
          <w:bCs/>
        </w:rPr>
        <w:t>ČESKÁ REPUBLIKA</w:t>
      </w:r>
    </w:p>
    <w:p w:rsidR="006629F1" w:rsidRDefault="006629F1">
      <w:pPr>
        <w:pStyle w:val="Vchoz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spacing w:before="28" w:after="28" w:line="360" w:lineRule="auto"/>
        <w:jc w:val="both"/>
        <w:rPr>
          <w:rFonts w:cstheme="minorBidi"/>
        </w:rPr>
      </w:pPr>
      <w:r>
        <w:rPr>
          <w:sz w:val="24"/>
          <w:szCs w:val="24"/>
        </w:rPr>
        <w:t xml:space="preserve">Česká republika je vnitrozemský stát ležící v srdci Evropy. Délka západní společné hranice s Německem činí osm set jedenáct kilometrů. Společná jižní hranice s Rakouskem je dlouhá čtyři sta šedesát šest kilometrů, se Slovenskem na východě dvě stě padesát dva kilometrů a s Polskem na severu sedm set šedesát dva kilometrů. Česká republika se skládá ze tří </w:t>
      </w:r>
      <w:hyperlink r:id="rId6">
        <w:r>
          <w:rPr>
            <w:rStyle w:val="Internetovodkaz"/>
            <w:rFonts w:ascii="Calibri" w:hAnsi="Calibri" w:cs="Calibri"/>
            <w:color w:val="00000A"/>
            <w:sz w:val="24"/>
            <w:szCs w:val="24"/>
            <w:u w:val="none"/>
          </w:rPr>
          <w:t>historických zemí</w:t>
        </w:r>
      </w:hyperlink>
      <w:r>
        <w:rPr>
          <w:sz w:val="24"/>
          <w:szCs w:val="24"/>
        </w:rPr>
        <w:t xml:space="preserve"> (</w:t>
      </w:r>
      <w:hyperlink r:id="rId7">
        <w:r>
          <w:rPr>
            <w:rStyle w:val="Internetovodkaz"/>
            <w:rFonts w:ascii="Calibri" w:hAnsi="Calibri" w:cs="Calibri"/>
            <w:color w:val="00000A"/>
            <w:sz w:val="24"/>
            <w:szCs w:val="24"/>
            <w:u w:val="none"/>
          </w:rPr>
          <w:t>Čech</w:t>
        </w:r>
      </w:hyperlink>
      <w:r>
        <w:rPr>
          <w:sz w:val="24"/>
          <w:szCs w:val="24"/>
        </w:rPr>
        <w:t xml:space="preserve">, </w:t>
      </w:r>
      <w:hyperlink r:id="rId8">
        <w:r>
          <w:rPr>
            <w:rStyle w:val="Internetovodkaz"/>
            <w:rFonts w:ascii="Calibri" w:hAnsi="Calibri" w:cs="Calibri"/>
            <w:color w:val="00000A"/>
            <w:sz w:val="24"/>
            <w:szCs w:val="24"/>
            <w:u w:val="none"/>
          </w:rPr>
          <w:t>Moravy</w:t>
        </w:r>
      </w:hyperlink>
      <w:r>
        <w:rPr>
          <w:sz w:val="24"/>
          <w:szCs w:val="24"/>
        </w:rPr>
        <w:t xml:space="preserve"> a </w:t>
      </w:r>
      <w:hyperlink r:id="rId9">
        <w:r>
          <w:rPr>
            <w:rStyle w:val="Internetovodkaz"/>
            <w:rFonts w:ascii="Calibri" w:hAnsi="Calibri" w:cs="Calibri"/>
            <w:color w:val="00000A"/>
            <w:sz w:val="24"/>
            <w:szCs w:val="24"/>
            <w:u w:val="none"/>
          </w:rPr>
          <w:t>části Slezska</w:t>
        </w:r>
      </w:hyperlink>
      <w:r>
        <w:rPr>
          <w:sz w:val="24"/>
          <w:szCs w:val="24"/>
        </w:rPr>
        <w:t xml:space="preserve">) na ploše sedmdesát tisíc osm set šedesát sedm kilometrů čtverečních.  </w:t>
      </w:r>
      <w:r>
        <w:rPr>
          <w:rFonts w:eastAsia="Times New Roman" w:cstheme="minorBidi"/>
          <w:sz w:val="24"/>
          <w:szCs w:val="24"/>
          <w:lang w:eastAsia="cs-CZ"/>
        </w:rPr>
        <w:t xml:space="preserve">Z celkové plochy Česka leží padesát tisíc osm set sedmnáct kilometrů čtverečních v nadmořské výšce do pěti set metrů, dvacet pět tisíc dvě stě dvacet dva kilometrů čtverečních ve výšce pět set až tisíc metrů a pouze osm set dvacet sedm kilometrů čtverečních ve výšce nad tisíc metrů.  </w:t>
      </w:r>
    </w:p>
    <w:p w:rsidR="006629F1" w:rsidRDefault="006629F1">
      <w:pPr>
        <w:pStyle w:val="Vchoz"/>
        <w:numPr>
          <w:ilvl w:val="0"/>
          <w:numId w:val="2"/>
        </w:numPr>
        <w:spacing w:after="0" w:line="100" w:lineRule="atLeast"/>
        <w:jc w:val="both"/>
        <w:rPr>
          <w:rFonts w:cstheme="minorBidi"/>
        </w:rPr>
      </w:pPr>
      <w:r>
        <w:rPr>
          <w:i/>
          <w:iCs/>
          <w:sz w:val="24"/>
          <w:szCs w:val="24"/>
        </w:rPr>
        <w:t>Pečlivě si přečti text o České republice. Podtrhni v textu všechny číslovky.</w:t>
      </w:r>
      <w:r>
        <w:rPr>
          <w:i/>
          <w:iCs/>
          <w:sz w:val="24"/>
          <w:szCs w:val="24"/>
        </w:rPr>
        <w:br/>
        <w:t xml:space="preserve">Pokud se číslovka opakuje dvakrát, zapiš ji jen jednou. </w:t>
      </w:r>
    </w:p>
    <w:p w:rsidR="006629F1" w:rsidRDefault="006629F1">
      <w:pPr>
        <w:pStyle w:val="Vchoz"/>
        <w:numPr>
          <w:ilvl w:val="0"/>
          <w:numId w:val="2"/>
        </w:numPr>
        <w:spacing w:after="0" w:line="100" w:lineRule="atLeast"/>
        <w:jc w:val="both"/>
        <w:rPr>
          <w:rFonts w:cstheme="minorBidi"/>
        </w:rPr>
      </w:pPr>
      <w:r>
        <w:rPr>
          <w:i/>
          <w:iCs/>
          <w:sz w:val="24"/>
          <w:szCs w:val="24"/>
        </w:rPr>
        <w:t>Každé z čísel si zapište do tabulky a postupně vyplň tabulku – seřaď čísla vzestupně, rozhodni se (je-li číslo sudé nebo liché) a nakonec zaokrouhlujte.</w:t>
      </w:r>
    </w:p>
    <w:p w:rsidR="006629F1" w:rsidRDefault="006629F1">
      <w:pPr>
        <w:pStyle w:val="Vchoz"/>
        <w:spacing w:after="0" w:line="100" w:lineRule="atLeast"/>
        <w:jc w:val="both"/>
        <w:rPr>
          <w:rFonts w:cstheme="minorBidi"/>
        </w:rPr>
      </w:pPr>
    </w:p>
    <w:tbl>
      <w:tblPr>
        <w:tblW w:w="0" w:type="auto"/>
        <w:tblInd w:w="-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469"/>
        <w:gridCol w:w="1123"/>
        <w:gridCol w:w="982"/>
        <w:gridCol w:w="1472"/>
        <w:gridCol w:w="1506"/>
        <w:gridCol w:w="1638"/>
      </w:tblGrid>
      <w:tr w:rsidR="006629F1">
        <w:tblPrEx>
          <w:tblCellMar>
            <w:top w:w="0" w:type="dxa"/>
            <w:bottom w:w="0" w:type="dxa"/>
          </w:tblCellMar>
        </w:tblPrEx>
        <w:tc>
          <w:tcPr>
            <w:tcW w:w="25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b/>
                <w:bCs/>
                <w:sz w:val="24"/>
                <w:szCs w:val="24"/>
              </w:rPr>
              <w:t>Podtržené číslo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b/>
                <w:bCs/>
                <w:sz w:val="24"/>
                <w:szCs w:val="24"/>
              </w:rPr>
              <w:t xml:space="preserve">Pořadí </w:t>
            </w:r>
            <w:r>
              <w:rPr>
                <w:b/>
                <w:bCs/>
                <w:sz w:val="24"/>
                <w:szCs w:val="24"/>
              </w:rPr>
              <w:br/>
              <w:t>čísel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b/>
                <w:bCs/>
                <w:sz w:val="24"/>
                <w:szCs w:val="24"/>
              </w:rPr>
              <w:t>Sudé  Liché</w:t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b/>
                <w:bCs/>
                <w:sz w:val="24"/>
                <w:szCs w:val="24"/>
              </w:rPr>
              <w:t>Zaokrouhli na desítky</w:t>
            </w: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b/>
                <w:bCs/>
                <w:sz w:val="24"/>
                <w:szCs w:val="24"/>
              </w:rPr>
              <w:t>Zaokrouhli</w:t>
            </w:r>
            <w:r>
              <w:rPr>
                <w:b/>
                <w:bCs/>
                <w:sz w:val="24"/>
                <w:szCs w:val="24"/>
              </w:rPr>
              <w:br/>
              <w:t>na stovky</w:t>
            </w:r>
          </w:p>
        </w:tc>
        <w:tc>
          <w:tcPr>
            <w:tcW w:w="16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b/>
                <w:bCs/>
                <w:sz w:val="24"/>
                <w:szCs w:val="24"/>
              </w:rPr>
              <w:t>Zaokrouhli na tisíce</w:t>
            </w:r>
          </w:p>
        </w:tc>
      </w:tr>
      <w:tr w:rsidR="006629F1">
        <w:tblPrEx>
          <w:tblCellMar>
            <w:top w:w="0" w:type="dxa"/>
            <w:bottom w:w="0" w:type="dxa"/>
          </w:tblCellMar>
        </w:tblPrEx>
        <w:tc>
          <w:tcPr>
            <w:tcW w:w="25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color w:val="0000FF"/>
                <w:sz w:val="28"/>
                <w:szCs w:val="28"/>
              </w:rPr>
              <w:t>1.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6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</w:tr>
      <w:tr w:rsidR="006629F1">
        <w:tblPrEx>
          <w:tblCellMar>
            <w:top w:w="0" w:type="dxa"/>
            <w:bottom w:w="0" w:type="dxa"/>
          </w:tblCellMar>
        </w:tblPrEx>
        <w:tc>
          <w:tcPr>
            <w:tcW w:w="25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color w:val="0000FF"/>
                <w:sz w:val="28"/>
                <w:szCs w:val="28"/>
              </w:rPr>
              <w:t>2.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6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</w:tr>
      <w:tr w:rsidR="006629F1">
        <w:tblPrEx>
          <w:tblCellMar>
            <w:top w:w="0" w:type="dxa"/>
            <w:bottom w:w="0" w:type="dxa"/>
          </w:tblCellMar>
        </w:tblPrEx>
        <w:tc>
          <w:tcPr>
            <w:tcW w:w="25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color w:val="0000FF"/>
                <w:sz w:val="28"/>
                <w:szCs w:val="28"/>
              </w:rPr>
              <w:t>3.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6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</w:tr>
      <w:tr w:rsidR="006629F1">
        <w:tblPrEx>
          <w:tblCellMar>
            <w:top w:w="0" w:type="dxa"/>
            <w:bottom w:w="0" w:type="dxa"/>
          </w:tblCellMar>
        </w:tblPrEx>
        <w:tc>
          <w:tcPr>
            <w:tcW w:w="25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color w:val="0000FF"/>
                <w:sz w:val="28"/>
                <w:szCs w:val="28"/>
              </w:rPr>
              <w:t>4.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6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</w:tr>
      <w:tr w:rsidR="006629F1">
        <w:tblPrEx>
          <w:tblCellMar>
            <w:top w:w="0" w:type="dxa"/>
            <w:bottom w:w="0" w:type="dxa"/>
          </w:tblCellMar>
        </w:tblPrEx>
        <w:tc>
          <w:tcPr>
            <w:tcW w:w="25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color w:val="0000FF"/>
                <w:sz w:val="28"/>
                <w:szCs w:val="28"/>
              </w:rPr>
              <w:t>5.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6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</w:tr>
      <w:tr w:rsidR="006629F1">
        <w:tblPrEx>
          <w:tblCellMar>
            <w:top w:w="0" w:type="dxa"/>
            <w:bottom w:w="0" w:type="dxa"/>
          </w:tblCellMar>
        </w:tblPrEx>
        <w:tc>
          <w:tcPr>
            <w:tcW w:w="25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color w:val="0000FF"/>
                <w:sz w:val="28"/>
                <w:szCs w:val="28"/>
              </w:rPr>
              <w:t>6.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6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</w:tr>
      <w:tr w:rsidR="006629F1">
        <w:tblPrEx>
          <w:tblCellMar>
            <w:top w:w="0" w:type="dxa"/>
            <w:bottom w:w="0" w:type="dxa"/>
          </w:tblCellMar>
        </w:tblPrEx>
        <w:tc>
          <w:tcPr>
            <w:tcW w:w="25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color w:val="0000FF"/>
                <w:sz w:val="28"/>
                <w:szCs w:val="28"/>
              </w:rPr>
              <w:t>7.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6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</w:tr>
      <w:tr w:rsidR="006629F1">
        <w:tblPrEx>
          <w:tblCellMar>
            <w:top w:w="0" w:type="dxa"/>
            <w:bottom w:w="0" w:type="dxa"/>
          </w:tblCellMar>
        </w:tblPrEx>
        <w:tc>
          <w:tcPr>
            <w:tcW w:w="25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color w:val="0000FF"/>
                <w:sz w:val="28"/>
                <w:szCs w:val="28"/>
              </w:rPr>
              <w:t>8.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6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</w:tr>
      <w:tr w:rsidR="006629F1">
        <w:tblPrEx>
          <w:tblCellMar>
            <w:top w:w="0" w:type="dxa"/>
            <w:bottom w:w="0" w:type="dxa"/>
          </w:tblCellMar>
        </w:tblPrEx>
        <w:tc>
          <w:tcPr>
            <w:tcW w:w="25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color w:val="0000FF"/>
                <w:sz w:val="28"/>
                <w:szCs w:val="28"/>
              </w:rPr>
              <w:t>9.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6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</w:tr>
      <w:tr w:rsidR="006629F1">
        <w:tblPrEx>
          <w:tblCellMar>
            <w:top w:w="0" w:type="dxa"/>
            <w:bottom w:w="0" w:type="dxa"/>
          </w:tblCellMar>
        </w:tblPrEx>
        <w:tc>
          <w:tcPr>
            <w:tcW w:w="25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color w:val="0000FF"/>
                <w:sz w:val="28"/>
                <w:szCs w:val="28"/>
              </w:rPr>
              <w:t>10.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6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</w:tr>
      <w:tr w:rsidR="006629F1">
        <w:tblPrEx>
          <w:tblCellMar>
            <w:top w:w="0" w:type="dxa"/>
            <w:bottom w:w="0" w:type="dxa"/>
          </w:tblCellMar>
        </w:tblPrEx>
        <w:tc>
          <w:tcPr>
            <w:tcW w:w="25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  <w:r>
              <w:rPr>
                <w:color w:val="0000FF"/>
                <w:sz w:val="28"/>
                <w:szCs w:val="28"/>
              </w:rPr>
              <w:t>11.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  <w:tc>
          <w:tcPr>
            <w:tcW w:w="16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9F1" w:rsidRDefault="006629F1">
            <w:pPr>
              <w:pStyle w:val="Vchoz"/>
              <w:rPr>
                <w:rFonts w:cstheme="minorBidi"/>
              </w:rPr>
            </w:pPr>
          </w:p>
        </w:tc>
      </w:tr>
    </w:tbl>
    <w:p w:rsidR="006629F1" w:rsidRDefault="006629F1">
      <w:pPr>
        <w:pStyle w:val="Vchoz"/>
        <w:rPr>
          <w:rFonts w:cstheme="minorBidi"/>
        </w:rPr>
      </w:pPr>
    </w:p>
    <w:sectPr w:rsidR="006629F1" w:rsidSect="006629F1">
      <w:pgSz w:w="11906" w:h="16838"/>
      <w:pgMar w:top="1417" w:right="1417" w:bottom="1417" w:left="1417" w:header="0" w:footer="0" w:gutter="0"/>
      <w:cols w:space="708"/>
      <w:formProt w:val="0"/>
      <w:rtlGutter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imSun">
    <w:altName w:val="ËÎĚĺ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F4AA4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3BE16962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29F1"/>
    <w:rsid w:val="00662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paragraph" w:styleId="Heading3">
    <w:name w:val="heading 3"/>
    <w:basedOn w:val="Vchoz"/>
    <w:next w:val="Tlotextu"/>
    <w:link w:val="Heading3Char"/>
    <w:uiPriority w:val="99"/>
    <w:qFormat/>
    <w:pPr>
      <w:numPr>
        <w:ilvl w:val="2"/>
        <w:numId w:val="1"/>
      </w:numPr>
      <w:spacing w:before="28" w:after="28" w:line="100" w:lineRule="atLeast"/>
      <w:outlineLvl w:val="2"/>
    </w:pPr>
    <w:rPr>
      <w:rFonts w:eastAsiaTheme="minorEastAsia" w:cstheme="minorBidi"/>
      <w:b/>
      <w:bCs/>
      <w:sz w:val="27"/>
      <w:szCs w:val="27"/>
      <w:lang w:eastAsia="cs-CZ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6629F1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Vchoz">
    <w:name w:val="Výchozí"/>
    <w:uiPriority w:val="99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customStyle="1" w:styleId="Internetovodkaz">
    <w:name w:val="Internetový odkaz"/>
    <w:basedOn w:val="DefaultParagraphFont"/>
    <w:uiPriority w:val="99"/>
    <w:rPr>
      <w:rFonts w:ascii="Times New Roman" w:hAnsi="Times New Roman" w:cs="Times New Roman"/>
      <w:color w:val="0000FF"/>
      <w:u w:val="single"/>
      <w:lang w:val="cs-CZ" w:eastAsia="cs-CZ"/>
    </w:rPr>
  </w:style>
  <w:style w:type="character" w:customStyle="1" w:styleId="Nadpis3Char">
    <w:name w:val="Nadpis 3 Char"/>
    <w:basedOn w:val="DefaultParagraphFont"/>
    <w:uiPriority w:val="99"/>
    <w:rPr>
      <w:rFonts w:ascii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DefaultParagraphFont"/>
    <w:uiPriority w:val="99"/>
    <w:rPr>
      <w:rFonts w:ascii="Times New Roman" w:hAnsi="Times New Roman" w:cs="Times New Roman"/>
    </w:rPr>
  </w:style>
  <w:style w:type="paragraph" w:customStyle="1" w:styleId="Nadpis">
    <w:name w:val="Nadpis"/>
    <w:basedOn w:val="Vchoz"/>
    <w:next w:val="Tlotextu"/>
    <w:uiPriority w:val="99"/>
    <w:pPr>
      <w:keepNext/>
      <w:spacing w:before="240" w:after="120"/>
    </w:pPr>
    <w:rPr>
      <w:rFonts w:ascii="Arial" w:eastAsiaTheme="minorEastAsia" w:hAnsi="Arial" w:cs="Arial"/>
      <w:sz w:val="28"/>
      <w:szCs w:val="28"/>
    </w:rPr>
  </w:style>
  <w:style w:type="paragraph" w:customStyle="1" w:styleId="Tlotextu">
    <w:name w:val="Tělo textu"/>
    <w:basedOn w:val="Vchoz"/>
    <w:uiPriority w:val="99"/>
    <w:pPr>
      <w:spacing w:after="120"/>
    </w:pPr>
  </w:style>
  <w:style w:type="paragraph" w:styleId="List">
    <w:name w:val="List"/>
    <w:basedOn w:val="Tlotextu"/>
    <w:uiPriority w:val="99"/>
  </w:style>
  <w:style w:type="paragraph" w:customStyle="1" w:styleId="Popisek">
    <w:name w:val="Popisek"/>
    <w:basedOn w:val="Vchoz"/>
    <w:uiPriority w:val="9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Rejstk">
    <w:name w:val="Rejstřík"/>
    <w:basedOn w:val="Vchoz"/>
    <w:uiPriority w:val="99"/>
    <w:pPr>
      <w:suppressLineNumbers/>
    </w:pPr>
  </w:style>
  <w:style w:type="paragraph" w:styleId="NormalWeb">
    <w:name w:val="Normal (Web)"/>
    <w:basedOn w:val="Vchoz"/>
    <w:uiPriority w:val="99"/>
    <w:pPr>
      <w:spacing w:before="28" w:after="28" w:line="100" w:lineRule="atLeast"/>
    </w:pPr>
    <w:rPr>
      <w:rFonts w:eastAsiaTheme="minorEastAsia" w:cstheme="minorBidi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Morav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&#268;ech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&#268;esk&#233;_zem&#283;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&#268;esk&#233;_Slezsk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2</Pages>
  <Words>300</Words>
  <Characters>1710</Characters>
  <Application>Microsoft Office Outlook</Application>
  <DocSecurity>0</DocSecurity>
  <Lines>0</Lines>
  <Paragraphs>0</Paragraphs>
  <ScaleCrop>false</ScaleCrop>
  <Company>_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ProBook08</dc:creator>
  <cp:keywords/>
  <dc:description/>
  <cp:lastModifiedBy>Mila</cp:lastModifiedBy>
  <cp:revision>2</cp:revision>
  <cp:lastPrinted>2012-10-01T05:01:00Z</cp:lastPrinted>
  <dcterms:created xsi:type="dcterms:W3CDTF">2012-09-25T17:10:00Z</dcterms:created>
  <dcterms:modified xsi:type="dcterms:W3CDTF">2012-10-01T05:01:00Z</dcterms:modified>
</cp:coreProperties>
</file>