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830519" w:rsidTr="0083051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 w:rsidP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22                  EU OP VK</w:t>
            </w:r>
          </w:p>
        </w:tc>
      </w:tr>
      <w:tr w:rsidR="00830519" w:rsidTr="0083051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830519" w:rsidTr="0083051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830519" w:rsidTr="0083051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březen 2013</w:t>
            </w:r>
          </w:p>
        </w:tc>
      </w:tr>
      <w:tr w:rsidR="00830519" w:rsidTr="0083051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830519" w:rsidTr="0083051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830519" w:rsidTr="00830519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519" w:rsidRDefault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Penzijní připojištění</w:t>
            </w:r>
          </w:p>
          <w:p w:rsidR="00830519" w:rsidRDefault="00830519" w:rsidP="00830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Žáci řeší otázku nutnosti spoluúčasti na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pokrytí  životních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nákladů v období penze.  </w:t>
            </w:r>
          </w:p>
        </w:tc>
      </w:tr>
    </w:tbl>
    <w:p w:rsidR="00830519" w:rsidRDefault="00830519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E4C03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</w:p>
    <w:p w:rsidR="00EE4C03" w:rsidRDefault="00EE4C03" w:rsidP="00E01D8D">
      <w:pPr>
        <w:pStyle w:val="Normlnweb"/>
        <w:rPr>
          <w:b/>
          <w:u w:val="single"/>
        </w:rPr>
      </w:pPr>
      <w:bookmarkStart w:id="0" w:name="_GoBack"/>
      <w:r>
        <w:rPr>
          <w:noProof/>
        </w:rPr>
        <w:drawing>
          <wp:inline distT="0" distB="0" distL="0" distR="0" wp14:anchorId="6681E9EB" wp14:editId="20F7BA55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D7B21" w:rsidRPr="00E01D8D" w:rsidRDefault="006F4C18" w:rsidP="00E01D8D">
      <w:pPr>
        <w:pStyle w:val="Normlnweb"/>
        <w:rPr>
          <w:b/>
          <w:u w:val="single"/>
        </w:rPr>
      </w:pPr>
      <w:r w:rsidRPr="00E01D8D">
        <w:rPr>
          <w:b/>
          <w:u w:val="single"/>
        </w:rPr>
        <w:lastRenderedPageBreak/>
        <w:t>Co pro tebe znamená důchod? V kolika letech dnes muži a ženy odcházejí do důchodu?</w:t>
      </w:r>
      <w:r w:rsidRPr="00E01D8D">
        <w:rPr>
          <w:b/>
          <w:u w:val="single"/>
        </w:rPr>
        <w:br/>
      </w:r>
      <w:r w:rsidRPr="00E01D8D">
        <w:rPr>
          <w:b/>
          <w:u w:val="single"/>
        </w:rPr>
        <w:br/>
      </w:r>
    </w:p>
    <w:p w:rsidR="002F22BF" w:rsidRDefault="006F4C18" w:rsidP="002F22BF">
      <w:pPr>
        <w:pStyle w:val="Normlnweb"/>
        <w:rPr>
          <w:b/>
        </w:rPr>
      </w:pPr>
      <w:r w:rsidRPr="006F4C18">
        <w:rPr>
          <w:b/>
          <w:u w:val="single"/>
        </w:rPr>
        <w:t>Penzijní připojištění</w:t>
      </w:r>
    </w:p>
    <w:p w:rsidR="00E01D8D" w:rsidRPr="00E01D8D" w:rsidRDefault="006F4C18" w:rsidP="00E01D8D">
      <w:pPr>
        <w:pStyle w:val="Normlnweb"/>
        <w:rPr>
          <w:rFonts w:eastAsiaTheme="minorHAnsi"/>
          <w:lang w:eastAsia="en-US"/>
        </w:rPr>
      </w:pPr>
      <w:r w:rsidRPr="00E01D8D">
        <w:rPr>
          <w:rFonts w:eastAsiaTheme="minorHAnsi"/>
          <w:lang w:eastAsia="en-US"/>
        </w:rPr>
        <w:t xml:space="preserve">pravidelné spoření </w:t>
      </w:r>
      <w:r w:rsidR="00E01D8D" w:rsidRPr="00E01D8D">
        <w:rPr>
          <w:rFonts w:eastAsiaTheme="minorHAnsi"/>
          <w:lang w:eastAsia="en-US"/>
        </w:rPr>
        <w:t xml:space="preserve">(měsíční, čtvrtletní, půlroční, roční) </w:t>
      </w:r>
      <w:r w:rsidRPr="00E01D8D">
        <w:rPr>
          <w:rFonts w:eastAsiaTheme="minorHAnsi"/>
          <w:lang w:eastAsia="en-US"/>
        </w:rPr>
        <w:t>na důchod v době, kdy si aktivně vyděláváme.</w:t>
      </w:r>
      <w:r w:rsidR="00E01D8D" w:rsidRPr="00E01D8D">
        <w:rPr>
          <w:rFonts w:eastAsiaTheme="minorHAnsi"/>
          <w:lang w:eastAsia="en-US"/>
        </w:rPr>
        <w:t xml:space="preserve"> Penzijní připojištění si může zřídit osoba starší 18 let, která je občanem ČR či jiné země EU s trvalým pobytem v Česku nebo účastnící se veřejného zdravotního nebo důchodového pojištění v rámci České republiky. Penzijní připojištění se uzavírá na dobu neurčitou (doba spoření není omezena).</w:t>
      </w:r>
      <w:r w:rsidR="002F22BF">
        <w:rPr>
          <w:rFonts w:eastAsiaTheme="minorHAnsi"/>
          <w:lang w:eastAsia="en-US"/>
        </w:rPr>
        <w:br/>
      </w:r>
    </w:p>
    <w:p w:rsidR="006F4C18" w:rsidRPr="00E01D8D" w:rsidRDefault="00E01D8D" w:rsidP="002F22BF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1D8D">
        <w:rPr>
          <w:rFonts w:ascii="Times New Roman" w:hAnsi="Times New Roman" w:cs="Times New Roman"/>
          <w:b/>
          <w:sz w:val="24"/>
          <w:szCs w:val="24"/>
          <w:u w:val="single"/>
        </w:rPr>
        <w:t>Charakteristika:</w:t>
      </w:r>
    </w:p>
    <w:p w:rsidR="006F4C18" w:rsidRPr="00E01D8D" w:rsidRDefault="00E5309E" w:rsidP="006F4C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1D8D">
        <w:rPr>
          <w:rFonts w:ascii="Times New Roman" w:hAnsi="Times New Roman" w:cs="Times New Roman"/>
          <w:sz w:val="24"/>
          <w:szCs w:val="24"/>
        </w:rPr>
        <w:t>s</w:t>
      </w:r>
      <w:r w:rsidR="006F4C18" w:rsidRPr="00E01D8D">
        <w:rPr>
          <w:rFonts w:ascii="Times New Roman" w:hAnsi="Times New Roman" w:cs="Times New Roman"/>
          <w:sz w:val="24"/>
          <w:szCs w:val="24"/>
        </w:rPr>
        <w:t>tátní příspěvek</w:t>
      </w:r>
      <w:r w:rsidR="00E01D8D" w:rsidRPr="00E01D8D">
        <w:rPr>
          <w:rFonts w:ascii="Times New Roman" w:hAnsi="Times New Roman" w:cs="Times New Roman"/>
          <w:sz w:val="24"/>
          <w:szCs w:val="24"/>
        </w:rPr>
        <w:t>, který navyšuje spořící složku</w:t>
      </w:r>
    </w:p>
    <w:p w:rsidR="006F4C18" w:rsidRPr="00E01D8D" w:rsidRDefault="00E01D8D" w:rsidP="006F4C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1D8D">
        <w:rPr>
          <w:rFonts w:ascii="Times New Roman" w:hAnsi="Times New Roman" w:cs="Times New Roman"/>
          <w:sz w:val="24"/>
          <w:szCs w:val="24"/>
        </w:rPr>
        <w:t xml:space="preserve">roční </w:t>
      </w:r>
      <w:r w:rsidR="00E5309E" w:rsidRPr="00E01D8D">
        <w:rPr>
          <w:rFonts w:ascii="Times New Roman" w:hAnsi="Times New Roman" w:cs="Times New Roman"/>
          <w:sz w:val="24"/>
          <w:szCs w:val="24"/>
        </w:rPr>
        <w:t>ú</w:t>
      </w:r>
      <w:r w:rsidR="006F4C18" w:rsidRPr="00E01D8D">
        <w:rPr>
          <w:rFonts w:ascii="Times New Roman" w:hAnsi="Times New Roman" w:cs="Times New Roman"/>
          <w:sz w:val="24"/>
          <w:szCs w:val="24"/>
        </w:rPr>
        <w:t>spora na daních</w:t>
      </w:r>
    </w:p>
    <w:p w:rsidR="006F4C18" w:rsidRPr="00E01D8D" w:rsidRDefault="00E5309E" w:rsidP="006F4C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1D8D">
        <w:rPr>
          <w:rFonts w:ascii="Times New Roman" w:hAnsi="Times New Roman" w:cs="Times New Roman"/>
          <w:sz w:val="24"/>
          <w:szCs w:val="24"/>
        </w:rPr>
        <w:t>m</w:t>
      </w:r>
      <w:r w:rsidR="006F4C18" w:rsidRPr="00E01D8D">
        <w:rPr>
          <w:rFonts w:ascii="Times New Roman" w:hAnsi="Times New Roman" w:cs="Times New Roman"/>
          <w:sz w:val="24"/>
          <w:szCs w:val="24"/>
        </w:rPr>
        <w:t>ožnost získat příspěvek na penzijní připojištění od zaměstnavatele</w:t>
      </w:r>
    </w:p>
    <w:p w:rsidR="006F4C18" w:rsidRPr="00E01D8D" w:rsidRDefault="00E5309E" w:rsidP="006F4C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1D8D">
        <w:rPr>
          <w:rFonts w:ascii="Times New Roman" w:hAnsi="Times New Roman" w:cs="Times New Roman"/>
          <w:sz w:val="24"/>
          <w:szCs w:val="24"/>
        </w:rPr>
        <w:t>m</w:t>
      </w:r>
      <w:r w:rsidR="006F4C18" w:rsidRPr="00E01D8D">
        <w:rPr>
          <w:rFonts w:ascii="Times New Roman" w:hAnsi="Times New Roman" w:cs="Times New Roman"/>
          <w:sz w:val="24"/>
          <w:szCs w:val="24"/>
        </w:rPr>
        <w:t>ožnost kdykoliv provádět změny na penzijním připojištění (pozastavení plateb, zvýšení nebo snížení plateb)</w:t>
      </w:r>
    </w:p>
    <w:p w:rsidR="00E5309E" w:rsidRPr="00E01D8D" w:rsidRDefault="00E01D8D" w:rsidP="006F4C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1D8D">
        <w:rPr>
          <w:rFonts w:ascii="Times New Roman" w:hAnsi="Times New Roman" w:cs="Times New Roman"/>
          <w:sz w:val="24"/>
          <w:szCs w:val="24"/>
        </w:rPr>
        <w:t>naspořené peníze získáte při odchodu do penze (v 63 letech a později)</w:t>
      </w:r>
    </w:p>
    <w:p w:rsidR="00E5309E" w:rsidRPr="00E01D8D" w:rsidRDefault="00E5309E" w:rsidP="006F4C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1D8D">
        <w:rPr>
          <w:rFonts w:ascii="Times New Roman" w:hAnsi="Times New Roman" w:cs="Times New Roman"/>
          <w:sz w:val="24"/>
          <w:szCs w:val="24"/>
        </w:rPr>
        <w:t>možnost uzavření pozůstalostní nebo invalidní penze</w:t>
      </w:r>
    </w:p>
    <w:p w:rsidR="00E5309E" w:rsidRPr="00E01D8D" w:rsidRDefault="00E5309E" w:rsidP="006F4C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1D8D">
        <w:rPr>
          <w:rFonts w:ascii="Times New Roman" w:hAnsi="Times New Roman" w:cs="Times New Roman"/>
          <w:sz w:val="24"/>
          <w:szCs w:val="24"/>
        </w:rPr>
        <w:t>možnost volby jednorázového nebo pravidelného vyplácení naspořených peněz</w:t>
      </w:r>
    </w:p>
    <w:p w:rsidR="00E01D8D" w:rsidRPr="00E01D8D" w:rsidRDefault="002F22BF" w:rsidP="00E01D8D">
      <w:pPr>
        <w:shd w:val="clear" w:color="auto" w:fill="FFFFFF"/>
        <w:spacing w:before="210" w:after="210" w:line="36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>Od 1. 1. 2013 došlo ke změnám v penzijním připojištění. Stát zvýhodňuje občany, kteří si platí vyšší částky.</w:t>
      </w:r>
      <w:r w:rsidRPr="002F22BF">
        <w:rPr>
          <w:rFonts w:ascii="Times New Roman" w:eastAsia="Times New Roman" w:hAnsi="Times New Roman" w:cs="Times New Roman"/>
          <w:noProof/>
          <w:sz w:val="19"/>
          <w:szCs w:val="19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noProof/>
          <w:sz w:val="19"/>
          <w:szCs w:val="19"/>
          <w:lang w:eastAsia="cs-CZ"/>
        </w:rPr>
        <w:br/>
      </w:r>
      <w:r w:rsidRPr="00E01D8D">
        <w:rPr>
          <w:rFonts w:ascii="Times New Roman" w:eastAsia="Times New Roman" w:hAnsi="Times New Roman" w:cs="Times New Roman"/>
          <w:noProof/>
          <w:sz w:val="19"/>
          <w:szCs w:val="19"/>
          <w:lang w:eastAsia="cs-CZ"/>
        </w:rPr>
        <w:drawing>
          <wp:inline distT="0" distB="0" distL="0" distR="0" wp14:anchorId="402A9AD0" wp14:editId="3D81EF03">
            <wp:extent cx="5715000" cy="4086225"/>
            <wp:effectExtent l="0" t="0" r="0" b="9525"/>
            <wp:docPr id="1" name="obrázek 1" descr="http://www.penzijnipripojisteni.cz/noRW_photodisplay/44/12_4489d19098ccfda245349f40fe26c34d.png?1354273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nzijnipripojisteni.cz/noRW_photodisplay/44/12_4489d19098ccfda245349f40fe26c34d.png?135427357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D8D" w:rsidRPr="00E01D8D" w:rsidRDefault="00E01D8D" w:rsidP="00E01D8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19"/>
          <w:szCs w:val="19"/>
          <w:lang w:eastAsia="cs-CZ"/>
        </w:rPr>
      </w:pPr>
    </w:p>
    <w:p w:rsidR="002F22BF" w:rsidRPr="00DB024B" w:rsidRDefault="002F22BF" w:rsidP="00DB024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DB024B">
        <w:rPr>
          <w:rFonts w:ascii="Times New Roman" w:hAnsi="Times New Roman" w:cs="Times New Roman"/>
          <w:sz w:val="24"/>
          <w:szCs w:val="24"/>
        </w:rPr>
        <w:t>Pracuj s výše uvedenou tabulkou.</w:t>
      </w:r>
    </w:p>
    <w:p w:rsidR="002F22BF" w:rsidRPr="00DB024B" w:rsidRDefault="002F22BF" w:rsidP="00DB024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24B">
        <w:rPr>
          <w:rFonts w:ascii="Times New Roman" w:hAnsi="Times New Roman" w:cs="Times New Roman"/>
          <w:sz w:val="24"/>
          <w:szCs w:val="24"/>
        </w:rPr>
        <w:t>Jaká musí být minimální měsíční platba, abys obdržel státní příspěvek?</w:t>
      </w:r>
      <w:r w:rsidRPr="00DB024B">
        <w:rPr>
          <w:rFonts w:ascii="Times New Roman" w:hAnsi="Times New Roman" w:cs="Times New Roman"/>
          <w:sz w:val="24"/>
          <w:szCs w:val="24"/>
        </w:rPr>
        <w:br/>
      </w:r>
    </w:p>
    <w:p w:rsidR="002F22BF" w:rsidRPr="00DB024B" w:rsidRDefault="002F22BF" w:rsidP="00DB024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24B">
        <w:rPr>
          <w:rFonts w:ascii="Times New Roman" w:hAnsi="Times New Roman" w:cs="Times New Roman"/>
          <w:sz w:val="24"/>
          <w:szCs w:val="24"/>
        </w:rPr>
        <w:t>Vypočítej, kolik naspoříš (včetně státního příspěvku), pokud budeš spořit od 18 let pravidelně 1 000 Kč měsíčně do 63 let. Zanedbáváme výnos fondu.</w:t>
      </w:r>
      <w:r w:rsidRPr="00DB024B">
        <w:rPr>
          <w:rFonts w:ascii="Times New Roman" w:hAnsi="Times New Roman" w:cs="Times New Roman"/>
          <w:sz w:val="24"/>
          <w:szCs w:val="24"/>
        </w:rPr>
        <w:br/>
      </w:r>
      <w:r w:rsidRPr="00DB024B">
        <w:rPr>
          <w:rFonts w:ascii="Times New Roman" w:hAnsi="Times New Roman" w:cs="Times New Roman"/>
          <w:sz w:val="24"/>
          <w:szCs w:val="24"/>
        </w:rPr>
        <w:br/>
      </w:r>
      <w:r w:rsidRPr="00DB024B">
        <w:rPr>
          <w:rFonts w:ascii="Times New Roman" w:hAnsi="Times New Roman" w:cs="Times New Roman"/>
          <w:sz w:val="24"/>
          <w:szCs w:val="24"/>
        </w:rPr>
        <w:br/>
      </w:r>
      <w:r w:rsidRPr="00DB024B">
        <w:rPr>
          <w:rFonts w:ascii="Times New Roman" w:hAnsi="Times New Roman" w:cs="Times New Roman"/>
          <w:sz w:val="24"/>
          <w:szCs w:val="24"/>
        </w:rPr>
        <w:br/>
      </w:r>
    </w:p>
    <w:p w:rsidR="002F22BF" w:rsidRPr="00DB024B" w:rsidRDefault="002F22BF" w:rsidP="00DB024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24B">
        <w:rPr>
          <w:rFonts w:ascii="Times New Roman" w:hAnsi="Times New Roman" w:cs="Times New Roman"/>
          <w:sz w:val="24"/>
          <w:szCs w:val="24"/>
        </w:rPr>
        <w:t>Jaký si představuješ měsíční příjem v důchodovém věku? Kolik měsíců ti vydrží naspořená částka?</w:t>
      </w:r>
      <w:r w:rsidRPr="00DB024B">
        <w:rPr>
          <w:rFonts w:ascii="Times New Roman" w:hAnsi="Times New Roman" w:cs="Times New Roman"/>
          <w:sz w:val="24"/>
          <w:szCs w:val="24"/>
        </w:rPr>
        <w:br/>
      </w:r>
      <w:r w:rsidRPr="00DB024B">
        <w:rPr>
          <w:rFonts w:ascii="Times New Roman" w:hAnsi="Times New Roman" w:cs="Times New Roman"/>
          <w:sz w:val="24"/>
          <w:szCs w:val="24"/>
        </w:rPr>
        <w:br/>
      </w:r>
      <w:r w:rsidRPr="00DB024B">
        <w:rPr>
          <w:rFonts w:ascii="Times New Roman" w:hAnsi="Times New Roman" w:cs="Times New Roman"/>
          <w:sz w:val="24"/>
          <w:szCs w:val="24"/>
        </w:rPr>
        <w:br/>
      </w:r>
    </w:p>
    <w:p w:rsidR="00DB024B" w:rsidRPr="00DB024B" w:rsidRDefault="002F22BF" w:rsidP="00DB024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24B">
        <w:rPr>
          <w:rFonts w:ascii="Times New Roman" w:hAnsi="Times New Roman" w:cs="Times New Roman"/>
          <w:sz w:val="24"/>
          <w:szCs w:val="24"/>
        </w:rPr>
        <w:t xml:space="preserve">Nyní se podíváme na daný problém obráceně. Kolik bys musel měsíčně spořit, abys po dobu penze mohl </w:t>
      </w:r>
      <w:r w:rsidR="00D31318" w:rsidRPr="00DB024B">
        <w:rPr>
          <w:rFonts w:ascii="Times New Roman" w:hAnsi="Times New Roman" w:cs="Times New Roman"/>
          <w:sz w:val="24"/>
          <w:szCs w:val="24"/>
        </w:rPr>
        <w:t>každý měsíc</w:t>
      </w:r>
      <w:r w:rsidRPr="00DB024B">
        <w:rPr>
          <w:rFonts w:ascii="Times New Roman" w:hAnsi="Times New Roman" w:cs="Times New Roman"/>
          <w:sz w:val="24"/>
          <w:szCs w:val="24"/>
        </w:rPr>
        <w:t xml:space="preserve"> čerpat 10 000 Kč? Opět uvažuj, že spoříš od 18 do 63 let</w:t>
      </w:r>
      <w:r w:rsidR="00D31318" w:rsidRPr="00DB024B">
        <w:rPr>
          <w:rFonts w:ascii="Times New Roman" w:hAnsi="Times New Roman" w:cs="Times New Roman"/>
          <w:sz w:val="24"/>
          <w:szCs w:val="24"/>
        </w:rPr>
        <w:t xml:space="preserve"> (délka důchodového věku 15 let). Průměrný věk dožití je v ČR asi 73,5 let</w:t>
      </w:r>
      <w:r w:rsidR="00D31318" w:rsidRPr="00DB024B">
        <w:rPr>
          <w:rFonts w:ascii="Times New Roman" w:hAnsi="Times New Roman" w:cs="Times New Roman"/>
          <w:sz w:val="24"/>
          <w:szCs w:val="24"/>
        </w:rPr>
        <w:br/>
        <w:t>u mužů a 80 let u žen.</w:t>
      </w:r>
      <w:r w:rsidR="00D31318" w:rsidRPr="00DB024B">
        <w:rPr>
          <w:rFonts w:ascii="Times New Roman" w:hAnsi="Times New Roman" w:cs="Times New Roman"/>
          <w:sz w:val="24"/>
          <w:szCs w:val="24"/>
        </w:rPr>
        <w:br/>
      </w:r>
      <w:r w:rsidR="00D31318" w:rsidRPr="00DB024B">
        <w:rPr>
          <w:rFonts w:ascii="Times New Roman" w:hAnsi="Times New Roman" w:cs="Times New Roman"/>
          <w:sz w:val="24"/>
          <w:szCs w:val="24"/>
        </w:rPr>
        <w:br/>
      </w:r>
      <w:r w:rsidR="00D31318" w:rsidRPr="00DB024B">
        <w:rPr>
          <w:rFonts w:ascii="Times New Roman" w:hAnsi="Times New Roman" w:cs="Times New Roman"/>
          <w:sz w:val="24"/>
          <w:szCs w:val="24"/>
        </w:rPr>
        <w:br/>
      </w:r>
    </w:p>
    <w:p w:rsidR="00DB024B" w:rsidRPr="00DB024B" w:rsidRDefault="00D31318" w:rsidP="00DB024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24B">
        <w:rPr>
          <w:rFonts w:ascii="Times New Roman" w:hAnsi="Times New Roman" w:cs="Times New Roman"/>
          <w:sz w:val="24"/>
          <w:szCs w:val="24"/>
        </w:rPr>
        <w:t>Na Internetu fungují různé kalkulačky pro výpočet výnosu penzijního připojištění.</w:t>
      </w:r>
      <w:r w:rsidRPr="00DB024B">
        <w:rPr>
          <w:rFonts w:ascii="Times New Roman" w:hAnsi="Times New Roman" w:cs="Times New Roman"/>
          <w:sz w:val="24"/>
          <w:szCs w:val="24"/>
        </w:rPr>
        <w:br/>
        <w:t>Např.: http://www.penzijnipripojisteni.cz/penzijni-pripojisteni/informace/</w:t>
      </w:r>
      <w:r w:rsidRPr="00DB024B">
        <w:rPr>
          <w:rFonts w:ascii="Times New Roman" w:hAnsi="Times New Roman" w:cs="Times New Roman"/>
          <w:sz w:val="24"/>
          <w:szCs w:val="24"/>
        </w:rPr>
        <w:br/>
        <w:t>Zde si spočítáte předpokládaný výd</w:t>
      </w:r>
      <w:r w:rsidR="00DB024B" w:rsidRPr="00DB024B">
        <w:rPr>
          <w:rFonts w:ascii="Times New Roman" w:hAnsi="Times New Roman" w:cs="Times New Roman"/>
          <w:sz w:val="24"/>
          <w:szCs w:val="24"/>
        </w:rPr>
        <w:t xml:space="preserve">ělek penzijního připojištění </w:t>
      </w:r>
      <w:r w:rsidRPr="00DB024B">
        <w:rPr>
          <w:rFonts w:ascii="Times New Roman" w:hAnsi="Times New Roman" w:cs="Times New Roman"/>
          <w:sz w:val="24"/>
          <w:szCs w:val="24"/>
        </w:rPr>
        <w:t>(včetně odhadu výnosů penzijních fondů)</w:t>
      </w:r>
      <w:r w:rsidR="00DB024B" w:rsidRPr="00DB024B">
        <w:rPr>
          <w:rFonts w:ascii="Times New Roman" w:hAnsi="Times New Roman" w:cs="Times New Roman"/>
          <w:sz w:val="24"/>
          <w:szCs w:val="24"/>
        </w:rPr>
        <w:t>.</w:t>
      </w:r>
      <w:r w:rsidR="00DB024B" w:rsidRPr="00DB024B">
        <w:rPr>
          <w:rFonts w:ascii="Times New Roman" w:hAnsi="Times New Roman" w:cs="Times New Roman"/>
          <w:sz w:val="24"/>
          <w:szCs w:val="24"/>
        </w:rPr>
        <w:br/>
      </w:r>
    </w:p>
    <w:p w:rsidR="00DB024B" w:rsidRPr="00DB024B" w:rsidRDefault="00DB024B" w:rsidP="00DB024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024B">
        <w:rPr>
          <w:rFonts w:ascii="Times New Roman" w:hAnsi="Times New Roman" w:cs="Times New Roman"/>
          <w:sz w:val="24"/>
          <w:szCs w:val="24"/>
        </w:rPr>
        <w:t>Minulé výnosy nejsou zárukou výnosů budoucích. Nicméně pohled do minulosti dává obrázek o tom, jak se jednotlivým fondům daří investiční strategie. Za posledních pět let se nejlépe dařilo penzijnímu fondu Allianz.</w:t>
      </w:r>
    </w:p>
    <w:tbl>
      <w:tblPr>
        <w:tblW w:w="0" w:type="auto"/>
        <w:jc w:val="center"/>
        <w:tblCellSpacing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0"/>
        <w:gridCol w:w="1455"/>
        <w:gridCol w:w="1095"/>
      </w:tblGrid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shd w:val="clear" w:color="auto" w:fill="C7E9FB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Penzijní fond</w:t>
            </w:r>
          </w:p>
        </w:tc>
        <w:tc>
          <w:tcPr>
            <w:tcW w:w="1395" w:type="dxa"/>
            <w:shd w:val="clear" w:color="auto" w:fill="C7E9FB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1 rok </w:t>
            </w:r>
          </w:p>
        </w:tc>
        <w:tc>
          <w:tcPr>
            <w:tcW w:w="1005" w:type="dxa"/>
            <w:shd w:val="clear" w:color="auto" w:fill="C7E9FB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5 let 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shd w:val="clear" w:color="auto" w:fill="FFFFFF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8" w:history="1">
              <w:proofErr w:type="spellStart"/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Aegon</w:t>
              </w:r>
              <w:proofErr w:type="spellEnd"/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 xml:space="preserve"> penzijní fond</w:t>
              </w:r>
            </w:hyperlink>
          </w:p>
        </w:tc>
        <w:tc>
          <w:tcPr>
            <w:tcW w:w="139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1,60 %</w:t>
            </w:r>
          </w:p>
        </w:tc>
        <w:tc>
          <w:tcPr>
            <w:tcW w:w="100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2,76 %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shd w:val="clear" w:color="auto" w:fill="F06123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9" w:history="1"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Allianz penzijní fond</w:t>
              </w:r>
            </w:hyperlink>
          </w:p>
        </w:tc>
        <w:tc>
          <w:tcPr>
            <w:tcW w:w="1395" w:type="dxa"/>
            <w:shd w:val="clear" w:color="auto" w:fill="F06123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2,69 %</w:t>
            </w:r>
          </w:p>
        </w:tc>
        <w:tc>
          <w:tcPr>
            <w:tcW w:w="1005" w:type="dxa"/>
            <w:shd w:val="clear" w:color="auto" w:fill="F06123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2,95 %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shd w:val="clear" w:color="auto" w:fill="FFFFFF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0" w:history="1"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Penzijní fond České spořitelny</w:t>
              </w:r>
            </w:hyperlink>
          </w:p>
        </w:tc>
        <w:tc>
          <w:tcPr>
            <w:tcW w:w="139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2,07 %</w:t>
            </w:r>
          </w:p>
        </w:tc>
        <w:tc>
          <w:tcPr>
            <w:tcW w:w="100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1,84 %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1" w:history="1"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ČSOB penzijní fond Stabilita</w:t>
              </w:r>
            </w:hyperlink>
          </w:p>
        </w:tc>
        <w:tc>
          <w:tcPr>
            <w:tcW w:w="1395" w:type="dxa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1,70 %</w:t>
            </w:r>
          </w:p>
        </w:tc>
        <w:tc>
          <w:tcPr>
            <w:tcW w:w="1005" w:type="dxa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1,40 %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shd w:val="clear" w:color="auto" w:fill="FFFFFF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2" w:history="1">
              <w:proofErr w:type="spellStart"/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Generali</w:t>
              </w:r>
              <w:proofErr w:type="spellEnd"/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 xml:space="preserve"> penzijní fond</w:t>
              </w:r>
            </w:hyperlink>
          </w:p>
        </w:tc>
        <w:tc>
          <w:tcPr>
            <w:tcW w:w="139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0,30 %</w:t>
            </w:r>
          </w:p>
        </w:tc>
        <w:tc>
          <w:tcPr>
            <w:tcW w:w="100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2,18 %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3" w:history="1"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ING penzijní fond</w:t>
              </w:r>
            </w:hyperlink>
          </w:p>
        </w:tc>
        <w:tc>
          <w:tcPr>
            <w:tcW w:w="1395" w:type="dxa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2,14 %</w:t>
            </w:r>
          </w:p>
        </w:tc>
        <w:tc>
          <w:tcPr>
            <w:tcW w:w="1005" w:type="dxa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1,38 %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shd w:val="clear" w:color="auto" w:fill="FFFFFF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4" w:history="1"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AXA penzijní fond</w:t>
              </w:r>
            </w:hyperlink>
          </w:p>
        </w:tc>
        <w:tc>
          <w:tcPr>
            <w:tcW w:w="139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1,47 %</w:t>
            </w:r>
          </w:p>
        </w:tc>
        <w:tc>
          <w:tcPr>
            <w:tcW w:w="100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1,43 %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5" w:history="1"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Penzijní fond České pojišťovny</w:t>
              </w:r>
            </w:hyperlink>
          </w:p>
        </w:tc>
        <w:tc>
          <w:tcPr>
            <w:tcW w:w="1395" w:type="dxa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1,50 %</w:t>
            </w:r>
          </w:p>
        </w:tc>
        <w:tc>
          <w:tcPr>
            <w:tcW w:w="1005" w:type="dxa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1,46 %</w:t>
            </w:r>
          </w:p>
        </w:tc>
      </w:tr>
      <w:tr w:rsidR="00DB024B" w:rsidRPr="00DB024B" w:rsidTr="00C1129B">
        <w:trPr>
          <w:tblCellSpacing w:w="15" w:type="dxa"/>
          <w:jc w:val="center"/>
        </w:trPr>
        <w:tc>
          <w:tcPr>
            <w:tcW w:w="2550" w:type="dxa"/>
            <w:shd w:val="clear" w:color="auto" w:fill="FFFFFF"/>
            <w:noWrap/>
            <w:vAlign w:val="bottom"/>
            <w:hideMark/>
          </w:tcPr>
          <w:p w:rsidR="00DB024B" w:rsidRPr="00DB024B" w:rsidRDefault="00EE4C03" w:rsidP="00DB02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6" w:history="1">
              <w:r w:rsidR="00DB024B" w:rsidRPr="00DB024B"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t>Penzijní fond Komerční banky</w:t>
              </w:r>
            </w:hyperlink>
          </w:p>
        </w:tc>
        <w:tc>
          <w:tcPr>
            <w:tcW w:w="139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2,04 %</w:t>
            </w:r>
          </w:p>
        </w:tc>
        <w:tc>
          <w:tcPr>
            <w:tcW w:w="1005" w:type="dxa"/>
            <w:shd w:val="clear" w:color="auto" w:fill="FFFFFF"/>
            <w:noWrap/>
            <w:vAlign w:val="bottom"/>
            <w:hideMark/>
          </w:tcPr>
          <w:p w:rsidR="00DB024B" w:rsidRPr="00DB024B" w:rsidRDefault="00DB024B" w:rsidP="00DB0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B02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1,48 %</w:t>
            </w:r>
          </w:p>
        </w:tc>
      </w:tr>
    </w:tbl>
    <w:p w:rsidR="00C1129B" w:rsidRPr="00830519" w:rsidRDefault="00830519" w:rsidP="00C1129B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C1129B" w:rsidRPr="00830519">
        <w:rPr>
          <w:rFonts w:ascii="Times New Roman" w:hAnsi="Times New Roman" w:cs="Times New Roman"/>
          <w:sz w:val="24"/>
          <w:szCs w:val="24"/>
        </w:rPr>
        <w:t>Zdroj obrázků [online, cit. 20. 3. 2013]. Dostupné z:</w:t>
      </w:r>
    </w:p>
    <w:p w:rsidR="006F4C18" w:rsidRPr="00830519" w:rsidRDefault="00D31318" w:rsidP="00C1129B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0519">
        <w:rPr>
          <w:rFonts w:ascii="Times New Roman" w:hAnsi="Times New Roman" w:cs="Times New Roman"/>
          <w:sz w:val="24"/>
          <w:szCs w:val="24"/>
        </w:rPr>
        <w:br/>
      </w:r>
      <w:r w:rsidR="00DB024B" w:rsidRPr="00830519">
        <w:rPr>
          <w:rFonts w:ascii="Times New Roman" w:hAnsi="Times New Roman" w:cs="Times New Roman"/>
          <w:sz w:val="24"/>
          <w:szCs w:val="24"/>
        </w:rPr>
        <w:t>http://www.penize.cz/penzijni-pripojisteni/239249-penzijni-fondy-2012-inflaci-prekonaly-ctyri</w:t>
      </w:r>
      <w:r w:rsidR="002F22BF" w:rsidRPr="00830519">
        <w:rPr>
          <w:rFonts w:ascii="Times New Roman" w:hAnsi="Times New Roman" w:cs="Times New Roman"/>
          <w:sz w:val="24"/>
          <w:szCs w:val="24"/>
        </w:rPr>
        <w:br/>
      </w:r>
      <w:r w:rsidRPr="00830519">
        <w:rPr>
          <w:rFonts w:ascii="Times New Roman" w:hAnsi="Times New Roman" w:cs="Times New Roman"/>
          <w:sz w:val="24"/>
          <w:szCs w:val="24"/>
        </w:rPr>
        <w:t>http://www.penzijnipripojisteni.cz/penzijni-pripojisteni/informace/</w:t>
      </w:r>
    </w:p>
    <w:sectPr w:rsidR="006F4C18" w:rsidRPr="00830519" w:rsidSect="002F22BF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5F4"/>
    <w:multiLevelType w:val="hybridMultilevel"/>
    <w:tmpl w:val="17846D6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4A4C4D"/>
    <w:multiLevelType w:val="multilevel"/>
    <w:tmpl w:val="C1D8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B34085"/>
    <w:multiLevelType w:val="hybridMultilevel"/>
    <w:tmpl w:val="EC6C7E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5F2B36"/>
    <w:multiLevelType w:val="hybridMultilevel"/>
    <w:tmpl w:val="BF164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941586"/>
    <w:multiLevelType w:val="multilevel"/>
    <w:tmpl w:val="B63A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03774D"/>
    <w:multiLevelType w:val="hybridMultilevel"/>
    <w:tmpl w:val="3370BEA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1837DE5"/>
    <w:multiLevelType w:val="hybridMultilevel"/>
    <w:tmpl w:val="071651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</w:num>
  <w:num w:numId="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C18"/>
    <w:rsid w:val="002F22BF"/>
    <w:rsid w:val="004277B1"/>
    <w:rsid w:val="006F4C18"/>
    <w:rsid w:val="00712A0D"/>
    <w:rsid w:val="007E2FC1"/>
    <w:rsid w:val="00830519"/>
    <w:rsid w:val="00C1129B"/>
    <w:rsid w:val="00CB3C21"/>
    <w:rsid w:val="00D31318"/>
    <w:rsid w:val="00DB024B"/>
    <w:rsid w:val="00E01D8D"/>
    <w:rsid w:val="00E5309E"/>
    <w:rsid w:val="00EE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B02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4C18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6F4C18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1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D8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01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B024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B02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B02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4C18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6F4C18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1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D8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01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B024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B02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20602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08881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72154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51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578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61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216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32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311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15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98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55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68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37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776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59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9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2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1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1919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6425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544528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66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25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810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382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75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nize.cz/penzijni-fondy/43677-aegon-penzijni-fond-a-s" TargetMode="External"/><Relationship Id="rId13" Type="http://schemas.openxmlformats.org/officeDocument/2006/relationships/hyperlink" Target="http://www.penize.cz/penzijni-fondy/8236-ing-penzijni-fond-a-s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penize.cz/penzijni-fondy/8234-generali-penzijni-fond-a-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enize.cz/penzijni-fondy/8237-penzijni-fond-komercni-banky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penize.cz/penzijni-fondy/8233-csob-penzijni-fond-stabilita-a-s-clen-skupiny-cso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enize.cz/penzijni-fondy/8228-penzijni-fond-ceske-pojistovny-a-s" TargetMode="External"/><Relationship Id="rId10" Type="http://schemas.openxmlformats.org/officeDocument/2006/relationships/hyperlink" Target="http://www.penize.cz/penzijni-fondy/8230-penzijni-fond-ceske-sporitelny-a-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enize.cz/penzijni-fondy/8226-allianz-penzijni-fond-a-s" TargetMode="External"/><Relationship Id="rId14" Type="http://schemas.openxmlformats.org/officeDocument/2006/relationships/hyperlink" Target="http://www.penize.cz/penzijni-fondy/8231-axa-penzijni-fond-a-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2013-03-24T16:25:00Z</dcterms:created>
  <dcterms:modified xsi:type="dcterms:W3CDTF">2013-06-01T04:48:00Z</dcterms:modified>
</cp:coreProperties>
</file>